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76442568"/>
    <w:bookmarkEnd w:id="0"/>
    <w:p w14:paraId="2F5EFD5B" w14:textId="734A395B" w:rsidR="00BA7F0F" w:rsidRPr="00BA7F0F" w:rsidRDefault="00BA7F0F" w:rsidP="00BA7F0F">
      <w:pPr>
        <w:spacing w:after="0"/>
        <w:rPr>
          <w:b/>
          <w:bCs/>
          <w:color w:val="FFFFFF" w:themeColor="background1"/>
          <w:sz w:val="40"/>
          <w:szCs w:val="40"/>
        </w:rPr>
      </w:pPr>
      <w:r w:rsidRPr="00AA3374">
        <w:rPr>
          <w:b/>
          <w:bCs/>
          <w:noProof/>
          <w:color w:val="FFFFFF" w:themeColor="background1"/>
          <w:sz w:val="40"/>
          <w:szCs w:val="40"/>
        </w:rPr>
        <mc:AlternateContent>
          <mc:Choice Requires="wps">
            <w:drawing>
              <wp:anchor distT="0" distB="0" distL="114300" distR="114300" simplePos="0" relativeHeight="251672576" behindDoc="1" locked="0" layoutInCell="1" allowOverlap="1" wp14:anchorId="24C030DB" wp14:editId="32C4B436">
                <wp:simplePos x="0" y="0"/>
                <wp:positionH relativeFrom="column">
                  <wp:posOffset>-629920</wp:posOffset>
                </wp:positionH>
                <wp:positionV relativeFrom="page">
                  <wp:posOffset>-57150</wp:posOffset>
                </wp:positionV>
                <wp:extent cx="7546975" cy="2190750"/>
                <wp:effectExtent l="0" t="0" r="0" b="0"/>
                <wp:wrapNone/>
                <wp:docPr id="5" name="Freeform 1">
                  <a:extLst xmlns:a="http://schemas.openxmlformats.org/drawingml/2006/main">
                    <a:ext uri="{FF2B5EF4-FFF2-40B4-BE49-F238E27FC236}">
                      <a16:creationId xmlns:a16="http://schemas.microsoft.com/office/drawing/2014/main" id="{5A45AC16-6E66-38B1-957F-ECB2CD6C57D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7546975" cy="2190750"/>
                        </a:xfrm>
                        <a:custGeom>
                          <a:avLst/>
                          <a:gdLst>
                            <a:gd name="T0" fmla="*/ 18999 w 19000"/>
                            <a:gd name="T1" fmla="*/ 0 h 5810"/>
                            <a:gd name="T2" fmla="*/ 18999 w 19000"/>
                            <a:gd name="T3" fmla="*/ 0 h 5810"/>
                            <a:gd name="T4" fmla="*/ 18656 w 19000"/>
                            <a:gd name="T5" fmla="*/ 18 h 5810"/>
                            <a:gd name="T6" fmla="*/ 9940 w 19000"/>
                            <a:gd name="T7" fmla="*/ 2651 h 5810"/>
                            <a:gd name="T8" fmla="*/ 5450 w 19000"/>
                            <a:gd name="T9" fmla="*/ 2139 h 5810"/>
                            <a:gd name="T10" fmla="*/ 994 w 19000"/>
                            <a:gd name="T11" fmla="*/ 1270 h 5810"/>
                            <a:gd name="T12" fmla="*/ 0 w 19000"/>
                            <a:gd name="T13" fmla="*/ 1265 h 5810"/>
                            <a:gd name="T14" fmla="*/ 0 w 19000"/>
                            <a:gd name="T15" fmla="*/ 5809 h 5810"/>
                            <a:gd name="T16" fmla="*/ 18999 w 19000"/>
                            <a:gd name="T17" fmla="*/ 5809 h 5810"/>
                            <a:gd name="T18" fmla="*/ 18999 w 19000"/>
                            <a:gd name="T19" fmla="*/ 0 h 5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000" h="5810">
                              <a:moveTo>
                                <a:pt x="18999" y="0"/>
                              </a:moveTo>
                              <a:lnTo>
                                <a:pt x="18999" y="0"/>
                              </a:lnTo>
                              <a:cubicBezTo>
                                <a:pt x="18883" y="4"/>
                                <a:pt x="18767" y="9"/>
                                <a:pt x="18656" y="18"/>
                              </a:cubicBezTo>
                              <a:cubicBezTo>
                                <a:pt x="15617" y="258"/>
                                <a:pt x="12975" y="2352"/>
                                <a:pt x="9940" y="2651"/>
                              </a:cubicBezTo>
                              <a:cubicBezTo>
                                <a:pt x="8435" y="2802"/>
                                <a:pt x="6920" y="2499"/>
                                <a:pt x="5450" y="2139"/>
                              </a:cubicBezTo>
                              <a:cubicBezTo>
                                <a:pt x="3975" y="1778"/>
                                <a:pt x="2509" y="1359"/>
                                <a:pt x="994" y="1270"/>
                              </a:cubicBezTo>
                              <a:cubicBezTo>
                                <a:pt x="664" y="1248"/>
                                <a:pt x="330" y="1248"/>
                                <a:pt x="0" y="1265"/>
                              </a:cubicBezTo>
                              <a:cubicBezTo>
                                <a:pt x="0" y="5809"/>
                                <a:pt x="0" y="5809"/>
                                <a:pt x="0" y="5809"/>
                              </a:cubicBezTo>
                              <a:cubicBezTo>
                                <a:pt x="18999" y="5809"/>
                                <a:pt x="18999" y="5809"/>
                                <a:pt x="18999" y="5809"/>
                              </a:cubicBezTo>
                              <a:lnTo>
                                <a:pt x="18999" y="0"/>
                              </a:lnTo>
                            </a:path>
                          </a:pathLst>
                        </a:custGeom>
                        <a:gradFill flip="none" rotWithShape="1">
                          <a:gsLst>
                            <a:gs pos="0">
                              <a:srgbClr val="1F2B7D">
                                <a:shade val="30000"/>
                                <a:satMod val="115000"/>
                              </a:srgbClr>
                            </a:gs>
                            <a:gs pos="50000">
                              <a:srgbClr val="1F2B7D">
                                <a:shade val="67500"/>
                                <a:satMod val="115000"/>
                              </a:srgbClr>
                            </a:gs>
                            <a:gs pos="100000">
                              <a:srgbClr val="1F2B7D">
                                <a:shade val="100000"/>
                                <a:satMod val="115000"/>
                              </a:srgbClr>
                            </a:gs>
                          </a:gsLst>
                          <a:lin ang="2700000" scaled="1"/>
                          <a:tileRect/>
                        </a:gradFill>
                        <a:ln>
                          <a:noFill/>
                        </a:ln>
                        <a:effectLst/>
                      </wps:spPr>
                      <wps:bodyPr wrap="none" anchor="ctr"/>
                    </wps:wsp>
                  </a:graphicData>
                </a:graphic>
                <wp14:sizeRelH relativeFrom="margin">
                  <wp14:pctWidth>0</wp14:pctWidth>
                </wp14:sizeRelH>
                <wp14:sizeRelV relativeFrom="margin">
                  <wp14:pctHeight>0</wp14:pctHeight>
                </wp14:sizeRelV>
              </wp:anchor>
            </w:drawing>
          </mc:Choice>
          <mc:Fallback>
            <w:pict>
              <v:shape w14:anchorId="70622AA1" id="Freeform 1" o:spid="_x0000_s1026" style="position:absolute;margin-left:-49.6pt;margin-top:-4.5pt;width:594.25pt;height:172.5pt;rotation:180;flip:x;z-index:-251643904;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19000,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HEwNwQAAIgNAAAOAAAAZHJzL2Uyb0RvYy54bWysV1uPozYUfq/U/2DxWKkDhnCLJrPq7mja&#10;h+1Fu7Pqs2NMQAWMbCZk+ut7jrnEmVky7Kp5iMD+/J378eH23amuyFEoXcpm59AbzyGi4TIrm8PO&#10;+fL48HPiEN2xJmOVbMTOeRbaeXf34w+3fbsVvixklQlFgKTR277dOUXXtVvX1bwQNdM3shUNbOZS&#10;1ayDV3VwM8V6YK8r1/e8yO2lyloludAaVu+HTefO8Oe54N2fea5FR6qdA7p15l+Z/z3+u3e3bHtQ&#10;rC1KPqrBvkOLmpUNCJ2p7lnHyJMqX1HVJVdSy7y74bJ2ZZ6XXBgbwBrqvbDmc8FaYWwB5+h2dpP+&#10;/2j5H8fP7V8KVdftR8n/0aSRHwrWHMQvSsm+ECwDcRQd5fat3s4H8EXDUbLvf5cZhJY9ddL44JSr&#10;migJvqZe4uHPIXlVtr8hD0oCs8nJxOB5joE4dYTDYhxuojQOHcJhz6epF4cmSi7bIi8e50+6+1VI&#10;88yOH3U3BDGDJxOCjDSsBoUeUW5dQTx/cglN0jQlPQFG0Gc8MQGpBfRIQcKEvsL4FuYqWWABl8g2&#10;FoYmURgtaQaOsExYUC2yQGm68ZbIYgvnRyFdoIOSnWWGm3CRLrVwPg3SBTpw5ZkP1FvSjtpRoH68&#10;5DtqR2JROWqHgYK1S9rZoVhms+MQJt6irXYormYJtYNxjdGOxnVGOx6286B0DlNxsGKqF35qxoKB&#10;JwIFj6WI9dNKjdWJ1QMl+DiUPlTdqTHF93UwxATBgekTb4HB5QgOV4HBowiOV4HBWQhOV4ExMREN&#10;iYfd7S2tMe8MfJ2RdLSSrjOTjnZCXqxSZrSUXpg62DCGVcHl9/LaUw6Ba2+PIiDQrMNsmB5JD/3Z&#10;dEdS7BzTAnGrlkfxKA2ow7wwOWg8MfXlM6JqriOnff60L/l78e8lOkmgZsHDm1G9UVwcQanAsrEU&#10;tB6XoWmaZZpMDrsg/aqIMMKyAy4/NKdmNt9cObgRhL4tHtvpcAL65WpBySaAhoF0iXdBF6X+SLdJ&#10;L+zBPjucgEa6Wk4wqU3j+MIgP/SgG4ACNAgv5IA9wzr019Viomg6tLmQEgSDztS/XJ9Wozn13wzN&#10;cAT7oO39NauY82/Sn5P2pYhv2XklasrnKSdhxDDenVw77MMxLDXTYuaaM1znOQZG0OyhrCozKO2c&#10;BoZlB2eov8uuMGPgNDsd9FiyB02gU09NW6vD/kOlyJHBoEsf/PfxvWnmumCZGFYDM4mZytesg5lt&#10;BNNwnIhApZHGqHrQWPSTGAQN98MKUREMbeMA9R2iKIpaLWtEf5tdYOrsyKocrz8oCSOYaM4qkaHH&#10;DWtXVuITNFN4wXNjpNA5lbkSG4mRG3aHFWG+PCBQuDgNyvhNord7mT3D0NzDJ8cUZtbwQsI3Ce+U&#10;KUmEwbg/ScNPE/yesN8N7fkD6u4/AAAA//8DAFBLAwQUAAYACAAAACEA6rtqR9wAAAALAQAADwAA&#10;AGRycy9kb3ducmV2LnhtbEyPTW6DMBCF95V6B2sqdZfYDRIKBBNVqbJqNqE5gANTQMFjhB3i3r7D&#10;qt3N03x6P8U+2kHMOPnekYa3tQKBVLump1bD5eu42oLwwVBjBkeo4Qc97Mvnp8LkjXvQGecqtIJN&#10;yOdGQxfCmEvp6w6t8Ws3IvHv203WBJZTK5vJPNjcDnKjVCqt6YkTOjPiocP6Vt0th3zS6eMUKxcP&#10;6bH2LqjzfLlp/foS33cgAsbwB8NSn6tDyZ2u7k6NF4OGVZZtGF0O3rQAapslIK4akiRVIMtC/t9Q&#10;/gIAAP//AwBQSwECLQAUAAYACAAAACEAtoM4kv4AAADhAQAAEwAAAAAAAAAAAAAAAAAAAAAAW0Nv&#10;bnRlbnRfVHlwZXNdLnhtbFBLAQItABQABgAIAAAAIQA4/SH/1gAAAJQBAAALAAAAAAAAAAAAAAAA&#10;AC8BAABfcmVscy8ucmVsc1BLAQItABQABgAIAAAAIQBlFHEwNwQAAIgNAAAOAAAAAAAAAAAAAAAA&#10;AC4CAABkcnMvZTJvRG9jLnhtbFBLAQItABQABgAIAAAAIQDqu2pH3AAAAAsBAAAPAAAAAAAAAAAA&#10;AAAAAJEGAABkcnMvZG93bnJldi54bWxQSwUGAAAAAAQABADzAAAAmgcAAAAA&#10;" path="m18999,r,c18883,4,18767,9,18656,18,15617,258,12975,2352,9940,2651,8435,2802,6920,2499,5450,2139,3975,1778,2509,1359,994,1270,664,1248,330,1248,,1265,,5809,,5809,,5809v18999,,18999,,18999,l18999,e" fillcolor="#09114a" stroked="f">
                <v:fill color2="#182684" rotate="t" angle="45" colors="0 #09114a;.5 #121e6e;1 #182684" focus="100%" type="gradient"/>
                <v:path arrowok="t" o:connecttype="custom" o:connectlocs="7546578,0;7546578,0;7410335,6787;3948260,999600;2164790,806543;394826,478873;0,476988;0,2190373;7546578,2190373;7546578,0" o:connectangles="0,0,0,0,0,0,0,0,0,0"/>
                <w10:wrap anchory="page"/>
              </v:shape>
            </w:pict>
          </mc:Fallback>
        </mc:AlternateContent>
      </w:r>
      <w:r w:rsidR="00220753">
        <w:rPr>
          <w:b/>
          <w:bCs/>
          <w:color w:val="FFFFFF" w:themeColor="background1"/>
          <w:sz w:val="40"/>
          <w:szCs w:val="40"/>
        </w:rPr>
        <w:t>Annuities</w:t>
      </w:r>
    </w:p>
    <w:p w14:paraId="153B5434" w14:textId="6E52877B" w:rsidR="00226CAF" w:rsidRPr="00AA3374" w:rsidRDefault="00792641" w:rsidP="00792641">
      <w:pPr>
        <w:spacing w:after="0"/>
        <w:rPr>
          <w:b/>
          <w:bCs/>
          <w:color w:val="FFFFFF" w:themeColor="background1"/>
          <w:sz w:val="40"/>
          <w:szCs w:val="40"/>
        </w:rPr>
      </w:pPr>
      <w:r>
        <w:rPr>
          <w:noProof/>
        </w:rPr>
        <w:drawing>
          <wp:anchor distT="0" distB="0" distL="114300" distR="114300" simplePos="0" relativeHeight="251675648" behindDoc="0" locked="0" layoutInCell="1" allowOverlap="1" wp14:anchorId="50AAA9E1" wp14:editId="0BB4C508">
            <wp:simplePos x="0" y="0"/>
            <wp:positionH relativeFrom="column">
              <wp:posOffset>4214495</wp:posOffset>
            </wp:positionH>
            <wp:positionV relativeFrom="paragraph">
              <wp:posOffset>-263819</wp:posOffset>
            </wp:positionV>
            <wp:extent cx="2534088" cy="1201003"/>
            <wp:effectExtent l="0" t="0" r="0" b="0"/>
            <wp:wrapNone/>
            <wp:docPr id="2108331487" name="Picture 2"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331487" name="Picture 2" descr="A logo with whit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34088" cy="1201003"/>
                    </a:xfrm>
                    <a:prstGeom prst="rect">
                      <a:avLst/>
                    </a:prstGeom>
                  </pic:spPr>
                </pic:pic>
              </a:graphicData>
            </a:graphic>
            <wp14:sizeRelH relativeFrom="margin">
              <wp14:pctWidth>0</wp14:pctWidth>
            </wp14:sizeRelH>
            <wp14:sizeRelV relativeFrom="margin">
              <wp14:pctHeight>0</wp14:pctHeight>
            </wp14:sizeRelV>
          </wp:anchor>
        </w:drawing>
      </w:r>
      <w:r w:rsidR="004405F4" w:rsidRPr="00AA3374">
        <w:rPr>
          <w:b/>
          <w:bCs/>
          <w:color w:val="FFFFFF" w:themeColor="background1"/>
          <w:sz w:val="40"/>
          <w:szCs w:val="40"/>
        </w:rPr>
        <w:t xml:space="preserve">Product </w:t>
      </w:r>
      <w:r w:rsidR="003A2171" w:rsidRPr="00AA3374">
        <w:rPr>
          <w:b/>
          <w:bCs/>
          <w:color w:val="FFFFFF" w:themeColor="background1"/>
          <w:sz w:val="40"/>
          <w:szCs w:val="40"/>
        </w:rPr>
        <w:t>Fair Value Assessments</w:t>
      </w:r>
    </w:p>
    <w:p w14:paraId="001EE7EF" w14:textId="031815E3" w:rsidR="003A2171" w:rsidRPr="00AA3374" w:rsidRDefault="00C02C3D">
      <w:pPr>
        <w:rPr>
          <w:b/>
          <w:bCs/>
          <w:color w:val="FFFFFF" w:themeColor="background1"/>
          <w:sz w:val="40"/>
          <w:szCs w:val="40"/>
        </w:rPr>
      </w:pPr>
      <w:r>
        <w:rPr>
          <w:b/>
          <w:bCs/>
          <w:color w:val="FFFFFF" w:themeColor="background1"/>
          <w:sz w:val="40"/>
          <w:szCs w:val="40"/>
        </w:rPr>
        <w:t>November</w:t>
      </w:r>
      <w:r w:rsidR="003A2171" w:rsidRPr="00AA3374">
        <w:rPr>
          <w:b/>
          <w:bCs/>
          <w:color w:val="FFFFFF" w:themeColor="background1"/>
          <w:sz w:val="40"/>
          <w:szCs w:val="40"/>
        </w:rPr>
        <w:t xml:space="preserve"> 2024</w:t>
      </w:r>
    </w:p>
    <w:p w14:paraId="450B50FB" w14:textId="4ACA1E75" w:rsidR="003A2171" w:rsidRPr="003A2171" w:rsidRDefault="003A2171" w:rsidP="003A2171"/>
    <w:p w14:paraId="37C9061F" w14:textId="77777777" w:rsidR="00593EA6" w:rsidRDefault="00593EA6" w:rsidP="006757C6"/>
    <w:p w14:paraId="4E32E86E" w14:textId="10C261B5" w:rsidR="00023CC8" w:rsidRPr="00A1585C" w:rsidRDefault="003A2171" w:rsidP="00BA7F0F">
      <w:pPr>
        <w:spacing w:before="120"/>
        <w:rPr>
          <w:b/>
          <w:bCs/>
          <w:color w:val="293876"/>
        </w:rPr>
      </w:pPr>
      <w:r w:rsidRPr="00A1585C">
        <w:rPr>
          <w:b/>
          <w:bCs/>
          <w:color w:val="293876"/>
        </w:rPr>
        <w:t xml:space="preserve">This document has been produced by National Deposit Friendly Society Limited, as a product manufacturer, and outlines the assessments completed on </w:t>
      </w:r>
      <w:proofErr w:type="gramStart"/>
      <w:r w:rsidRPr="00A1585C">
        <w:rPr>
          <w:b/>
          <w:bCs/>
          <w:color w:val="293876"/>
        </w:rPr>
        <w:t>all of</w:t>
      </w:r>
      <w:proofErr w:type="gramEnd"/>
      <w:r w:rsidRPr="00A1585C">
        <w:rPr>
          <w:b/>
          <w:bCs/>
          <w:color w:val="293876"/>
        </w:rPr>
        <w:t xml:space="preserve"> our insurance products and concludes whether they provide fair value to customers, and if they do not, what remedial actions have been taken to remedy this. </w:t>
      </w:r>
    </w:p>
    <w:p w14:paraId="62165A20" w14:textId="2E9D4C6F" w:rsidR="00023CC8" w:rsidRPr="00DC5DDB" w:rsidRDefault="003A2171" w:rsidP="00827360">
      <w:pPr>
        <w:rPr>
          <w:sz w:val="22"/>
          <w:szCs w:val="22"/>
        </w:rPr>
      </w:pPr>
      <w:r w:rsidRPr="00DC5DDB">
        <w:rPr>
          <w:sz w:val="22"/>
          <w:szCs w:val="22"/>
        </w:rPr>
        <w:t xml:space="preserve">The fair value assessments and product reviews are </w:t>
      </w:r>
      <w:r w:rsidR="002877E2">
        <w:rPr>
          <w:sz w:val="22"/>
          <w:szCs w:val="22"/>
        </w:rPr>
        <w:t>oversighted</w:t>
      </w:r>
      <w:r w:rsidRPr="00DC5DDB">
        <w:rPr>
          <w:sz w:val="22"/>
          <w:szCs w:val="22"/>
        </w:rPr>
        <w:t xml:space="preserve"> by our Pricing, Underwriting and Product Working </w:t>
      </w:r>
      <w:proofErr w:type="gramStart"/>
      <w:r w:rsidRPr="00DC5DDB">
        <w:rPr>
          <w:sz w:val="22"/>
          <w:szCs w:val="22"/>
        </w:rPr>
        <w:t>Group;</w:t>
      </w:r>
      <w:proofErr w:type="gramEnd"/>
      <w:r w:rsidRPr="00DC5DDB">
        <w:rPr>
          <w:sz w:val="22"/>
          <w:szCs w:val="22"/>
        </w:rPr>
        <w:t xml:space="preserve"> which consists of </w:t>
      </w:r>
      <w:proofErr w:type="gramStart"/>
      <w:r w:rsidRPr="00DC5DDB">
        <w:rPr>
          <w:sz w:val="22"/>
          <w:szCs w:val="22"/>
        </w:rPr>
        <w:t>a number of</w:t>
      </w:r>
      <w:proofErr w:type="gramEnd"/>
      <w:r w:rsidRPr="00DC5DDB">
        <w:rPr>
          <w:sz w:val="22"/>
          <w:szCs w:val="22"/>
        </w:rPr>
        <w:t xml:space="preserve"> key operational stakeholders within the business, who complete thorough reviews of each product based on the FCA's PROD4 requirements. These reviews are scrutinised by our Executive Committee prior to acceptance. This Committee consists of senior management across all business </w:t>
      </w:r>
      <w:proofErr w:type="gramStart"/>
      <w:r w:rsidRPr="00DC5DDB">
        <w:rPr>
          <w:sz w:val="22"/>
          <w:szCs w:val="22"/>
        </w:rPr>
        <w:t>units, and</w:t>
      </w:r>
      <w:proofErr w:type="gramEnd"/>
      <w:r w:rsidRPr="00DC5DDB">
        <w:rPr>
          <w:sz w:val="22"/>
          <w:szCs w:val="22"/>
        </w:rPr>
        <w:t xml:space="preserve"> is chaired by our Chief Executive Officer. </w:t>
      </w:r>
    </w:p>
    <w:p w14:paraId="3D8D8DA8" w14:textId="77777777" w:rsidR="00023CC8" w:rsidRPr="00DC5DDB" w:rsidRDefault="003A2171" w:rsidP="00827360">
      <w:pPr>
        <w:rPr>
          <w:sz w:val="22"/>
          <w:szCs w:val="22"/>
        </w:rPr>
      </w:pPr>
      <w:r w:rsidRPr="00DC5DDB">
        <w:rPr>
          <w:sz w:val="22"/>
          <w:szCs w:val="22"/>
        </w:rPr>
        <w:t xml:space="preserve">This approach and the product </w:t>
      </w:r>
      <w:proofErr w:type="gramStart"/>
      <w:r w:rsidRPr="00DC5DDB">
        <w:rPr>
          <w:sz w:val="22"/>
          <w:szCs w:val="22"/>
        </w:rPr>
        <w:t>reviews</w:t>
      </w:r>
      <w:proofErr w:type="gramEnd"/>
      <w:r w:rsidRPr="00DC5DDB">
        <w:rPr>
          <w:sz w:val="22"/>
          <w:szCs w:val="22"/>
        </w:rPr>
        <w:t xml:space="preserve"> themselves are endorsed by our Consumer Duty Champion, who is a non-executive Director that sits on our Society Board. Our Head of Internal Audit also completes regular audits and on-going assurance and has concluded that this approach is fit for purpose. </w:t>
      </w:r>
    </w:p>
    <w:p w14:paraId="5E2E8ED1" w14:textId="0E8C75BD" w:rsidR="003A2171" w:rsidRPr="00DC5DDB" w:rsidRDefault="003A2171" w:rsidP="00A07832">
      <w:pPr>
        <w:spacing w:after="240"/>
        <w:rPr>
          <w:sz w:val="22"/>
          <w:szCs w:val="22"/>
        </w:rPr>
      </w:pPr>
      <w:r w:rsidRPr="00DC5DDB">
        <w:rPr>
          <w:sz w:val="22"/>
          <w:szCs w:val="22"/>
        </w:rPr>
        <w:t>These fair value assessments provide a full picture of our governance structure, and the framework we have in place to ensure compliance with the Consumer Duty and all other relevant regulations currently in place. They should be reviewed in accordance with the following additional documentation:</w:t>
      </w:r>
    </w:p>
    <w:p w14:paraId="02E276DF" w14:textId="443FF51C" w:rsidR="00A07832" w:rsidRPr="00DC5DDB" w:rsidRDefault="003A2171" w:rsidP="00A07832">
      <w:pPr>
        <w:pStyle w:val="ListParagraph"/>
        <w:numPr>
          <w:ilvl w:val="0"/>
          <w:numId w:val="1"/>
        </w:numPr>
        <w:spacing w:after="120"/>
        <w:ind w:left="714" w:hanging="357"/>
        <w:contextualSpacing w:val="0"/>
        <w:rPr>
          <w:sz w:val="22"/>
          <w:szCs w:val="22"/>
        </w:rPr>
      </w:pPr>
      <w:r w:rsidRPr="00DC5DDB">
        <w:rPr>
          <w:sz w:val="22"/>
          <w:szCs w:val="22"/>
        </w:rPr>
        <w:t>Product Governance Framework</w:t>
      </w:r>
    </w:p>
    <w:p w14:paraId="5318AF62" w14:textId="1FCD4204" w:rsidR="00A07832" w:rsidRPr="00DC5DDB" w:rsidRDefault="003A2171" w:rsidP="00A07832">
      <w:pPr>
        <w:pStyle w:val="ListParagraph"/>
        <w:numPr>
          <w:ilvl w:val="0"/>
          <w:numId w:val="1"/>
        </w:numPr>
        <w:spacing w:after="120"/>
        <w:ind w:left="714" w:hanging="357"/>
        <w:contextualSpacing w:val="0"/>
        <w:rPr>
          <w:sz w:val="22"/>
          <w:szCs w:val="22"/>
        </w:rPr>
      </w:pPr>
      <w:r w:rsidRPr="00DC5DDB">
        <w:rPr>
          <w:sz w:val="22"/>
          <w:szCs w:val="22"/>
        </w:rPr>
        <w:t xml:space="preserve">Target Market </w:t>
      </w:r>
      <w:r w:rsidR="00751995">
        <w:rPr>
          <w:sz w:val="22"/>
          <w:szCs w:val="22"/>
        </w:rPr>
        <w:t>Information</w:t>
      </w:r>
    </w:p>
    <w:p w14:paraId="066018E6" w14:textId="10DF7A85" w:rsidR="009E6C0B" w:rsidRPr="009E6C0B" w:rsidRDefault="003A2171" w:rsidP="009E6C0B">
      <w:pPr>
        <w:pStyle w:val="ListParagraph"/>
        <w:numPr>
          <w:ilvl w:val="0"/>
          <w:numId w:val="1"/>
        </w:numPr>
        <w:spacing w:after="240"/>
        <w:ind w:left="714" w:hanging="357"/>
        <w:rPr>
          <w:sz w:val="22"/>
          <w:szCs w:val="22"/>
        </w:rPr>
      </w:pPr>
      <w:r w:rsidRPr="00DC5DDB">
        <w:rPr>
          <w:sz w:val="22"/>
          <w:szCs w:val="22"/>
        </w:rPr>
        <w:t>Table of Metrics</w:t>
      </w:r>
    </w:p>
    <w:p w14:paraId="3F4D5C0D" w14:textId="70110A65" w:rsidR="0022263C" w:rsidRDefault="005A61EB" w:rsidP="00C40B3D">
      <w:pPr>
        <w:pStyle w:val="NormalWeb"/>
        <w:rPr>
          <w:rStyle w:val="Strong"/>
          <w:sz w:val="22"/>
          <w:szCs w:val="22"/>
        </w:rPr>
      </w:pPr>
      <w:r w:rsidRPr="008A61F2">
        <w:rPr>
          <w:rStyle w:val="Strong"/>
          <w:sz w:val="22"/>
          <w:szCs w:val="22"/>
        </w:rPr>
        <w:t xml:space="preserve">We have used the following colour coded system to evaluate </w:t>
      </w:r>
      <w:r w:rsidR="008A61F2" w:rsidRPr="008A61F2">
        <w:rPr>
          <w:rStyle w:val="Strong"/>
          <w:sz w:val="22"/>
          <w:szCs w:val="22"/>
        </w:rPr>
        <w:t>each section of the assessment: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208"/>
      </w:tblGrid>
      <w:tr w:rsidR="008A61F2" w14:paraId="757CD971" w14:textId="77777777" w:rsidTr="00957FD3">
        <w:trPr>
          <w:trHeight w:val="769"/>
        </w:trPr>
        <w:tc>
          <w:tcPr>
            <w:tcW w:w="704" w:type="dxa"/>
          </w:tcPr>
          <w:p w14:paraId="35BE7A7C" w14:textId="288549D8" w:rsidR="008A61F2" w:rsidRDefault="00466A97" w:rsidP="008A61F2">
            <w:pPr>
              <w:pStyle w:val="NormalWeb"/>
              <w:rPr>
                <w:rStyle w:val="Strong"/>
              </w:rPr>
            </w:pPr>
            <w:r w:rsidRPr="00B41634">
              <w:rPr>
                <w:rFonts w:ascii="Webdings" w:hAnsi="Webdings"/>
                <w:b/>
                <w:bCs/>
                <w:color w:val="00B050"/>
                <w:sz w:val="40"/>
                <w:szCs w:val="40"/>
                <w14:shadow w14:blurRad="50800" w14:dist="38100" w14:dir="2700000" w14:sx="100000" w14:sy="100000" w14:kx="0" w14:ky="0" w14:algn="tl">
                  <w14:srgbClr w14:val="000000">
                    <w14:alpha w14:val="60000"/>
                  </w14:srgbClr>
                </w14:shadow>
                <w14:textOutline w14:w="3175" w14:cap="rnd" w14:cmpd="sng" w14:algn="ctr">
                  <w14:solidFill>
                    <w14:srgbClr w14:val="000000"/>
                  </w14:solidFill>
                  <w14:prstDash w14:val="solid"/>
                  <w14:bevel/>
                </w14:textOutline>
              </w:rPr>
              <w:t>n</w:t>
            </w:r>
          </w:p>
        </w:tc>
        <w:tc>
          <w:tcPr>
            <w:tcW w:w="9208" w:type="dxa"/>
          </w:tcPr>
          <w:p w14:paraId="676DAC6E" w14:textId="32010EA1" w:rsidR="008A61F2" w:rsidRPr="008A61F2" w:rsidRDefault="008A61F2" w:rsidP="008A61F2">
            <w:pPr>
              <w:pStyle w:val="NormalWeb"/>
              <w:rPr>
                <w:rStyle w:val="Strong"/>
                <w:b w:val="0"/>
                <w:bCs w:val="0"/>
              </w:rPr>
            </w:pPr>
            <w:r w:rsidRPr="00466A97">
              <w:rPr>
                <w:rStyle w:val="Strong"/>
                <w:color w:val="00B050"/>
              </w:rPr>
              <w:t>Green</w:t>
            </w:r>
            <w:r w:rsidRPr="008A61F2">
              <w:t xml:space="preserve"> signifies that</w:t>
            </w:r>
            <w:r w:rsidR="00470CE8">
              <w:t xml:space="preserve"> no or only</w:t>
            </w:r>
            <w:r w:rsidRPr="008A61F2">
              <w:t xml:space="preserve"> a few minor factors fall outside the acceptable </w:t>
            </w:r>
            <w:proofErr w:type="gramStart"/>
            <w:r w:rsidRPr="008A61F2">
              <w:t>range,</w:t>
            </w:r>
            <w:proofErr w:type="gramEnd"/>
            <w:r w:rsidRPr="008A61F2">
              <w:t xml:space="preserve"> in the next 12 months </w:t>
            </w:r>
            <w:r w:rsidR="00E52CAF">
              <w:t>these are</w:t>
            </w:r>
            <w:r w:rsidRPr="008A61F2">
              <w:t xml:space="preserve"> unlikely to negatively affect customer outcomes.</w:t>
            </w:r>
          </w:p>
        </w:tc>
      </w:tr>
      <w:tr w:rsidR="008A61F2" w14:paraId="7DE47148" w14:textId="77777777" w:rsidTr="00957FD3">
        <w:trPr>
          <w:trHeight w:val="769"/>
        </w:trPr>
        <w:tc>
          <w:tcPr>
            <w:tcW w:w="704" w:type="dxa"/>
          </w:tcPr>
          <w:p w14:paraId="51AEA9F4" w14:textId="1C6EB152" w:rsidR="008A61F2" w:rsidRDefault="00466A97" w:rsidP="008A61F2">
            <w:pPr>
              <w:pStyle w:val="NormalWeb"/>
              <w:rPr>
                <w:rStyle w:val="Strong"/>
              </w:rPr>
            </w:pPr>
            <w:r w:rsidRPr="00EF6B7A">
              <w:rPr>
                <w:rFonts w:ascii="Webdings" w:hAnsi="Webdings"/>
                <w:b/>
                <w:bCs/>
                <w:color w:val="FFA500"/>
                <w:sz w:val="40"/>
                <w:szCs w:val="40"/>
                <w14:shadow w14:blurRad="50800" w14:dist="38100" w14:dir="2700000" w14:sx="100000" w14:sy="100000" w14:kx="0" w14:ky="0" w14:algn="tl">
                  <w14:srgbClr w14:val="000000">
                    <w14:alpha w14:val="60000"/>
                  </w14:srgbClr>
                </w14:shadow>
                <w14:textOutline w14:w="3175" w14:cap="rnd" w14:cmpd="sng" w14:algn="ctr">
                  <w14:solidFill>
                    <w14:srgbClr w14:val="000000"/>
                  </w14:solidFill>
                  <w14:prstDash w14:val="solid"/>
                  <w14:bevel/>
                </w14:textOutline>
              </w:rPr>
              <w:t>n</w:t>
            </w:r>
          </w:p>
        </w:tc>
        <w:tc>
          <w:tcPr>
            <w:tcW w:w="9208" w:type="dxa"/>
          </w:tcPr>
          <w:p w14:paraId="34BAD0AE" w14:textId="6C4690E8" w:rsidR="008A61F2" w:rsidRPr="008A61F2" w:rsidRDefault="008A61F2" w:rsidP="008A61F2">
            <w:pPr>
              <w:pStyle w:val="NormalWeb"/>
              <w:rPr>
                <w:rStyle w:val="Strong"/>
                <w:b w:val="0"/>
                <w:bCs w:val="0"/>
              </w:rPr>
            </w:pPr>
            <w:r w:rsidRPr="00EF6B7A">
              <w:rPr>
                <w:rStyle w:val="Strong"/>
                <w:color w:val="FFA500"/>
              </w:rPr>
              <w:t>Amber</w:t>
            </w:r>
            <w:r w:rsidRPr="008A61F2">
              <w:t xml:space="preserve"> signifies that some minor or key factors are outside </w:t>
            </w:r>
            <w:r w:rsidR="00A0719F">
              <w:t xml:space="preserve">the </w:t>
            </w:r>
            <w:r w:rsidRPr="008A61F2">
              <w:t xml:space="preserve">acceptable </w:t>
            </w:r>
            <w:r w:rsidR="00A0719F">
              <w:t>range</w:t>
            </w:r>
            <w:r w:rsidRPr="008A61F2">
              <w:t>, in the next 12 months there is a possible risk of</w:t>
            </w:r>
            <w:r w:rsidR="00E52CAF">
              <w:t xml:space="preserve"> these</w:t>
            </w:r>
            <w:r w:rsidR="001B2550" w:rsidRPr="008A61F2">
              <w:t xml:space="preserve"> negatively affecting </w:t>
            </w:r>
            <w:r w:rsidRPr="008A61F2">
              <w:t>customer outcomes.</w:t>
            </w:r>
          </w:p>
        </w:tc>
      </w:tr>
      <w:tr w:rsidR="008A61F2" w14:paraId="754284E3" w14:textId="77777777" w:rsidTr="00957FD3">
        <w:trPr>
          <w:trHeight w:val="769"/>
        </w:trPr>
        <w:tc>
          <w:tcPr>
            <w:tcW w:w="704" w:type="dxa"/>
          </w:tcPr>
          <w:p w14:paraId="3FDAE1B3" w14:textId="5D956610" w:rsidR="008A61F2" w:rsidRDefault="00466A97" w:rsidP="008A61F2">
            <w:pPr>
              <w:pStyle w:val="NormalWeb"/>
              <w:rPr>
                <w:rStyle w:val="Strong"/>
              </w:rPr>
            </w:pPr>
            <w:r w:rsidRPr="00466A97">
              <w:rPr>
                <w:rFonts w:ascii="Webdings" w:hAnsi="Webdings"/>
                <w:b/>
                <w:bCs/>
                <w:color w:val="FF0000"/>
                <w:sz w:val="40"/>
                <w:szCs w:val="40"/>
                <w14:shadow w14:blurRad="50800" w14:dist="38100" w14:dir="2700000" w14:sx="100000" w14:sy="100000" w14:kx="0" w14:ky="0" w14:algn="tl">
                  <w14:srgbClr w14:val="000000">
                    <w14:alpha w14:val="60000"/>
                  </w14:srgbClr>
                </w14:shadow>
                <w14:textOutline w14:w="3175" w14:cap="rnd" w14:cmpd="sng" w14:algn="ctr">
                  <w14:solidFill>
                    <w14:srgbClr w14:val="000000"/>
                  </w14:solidFill>
                  <w14:prstDash w14:val="solid"/>
                  <w14:bevel/>
                </w14:textOutline>
              </w:rPr>
              <w:t>n</w:t>
            </w:r>
          </w:p>
        </w:tc>
        <w:tc>
          <w:tcPr>
            <w:tcW w:w="9208" w:type="dxa"/>
          </w:tcPr>
          <w:p w14:paraId="4B116452" w14:textId="26F920CF" w:rsidR="008A61F2" w:rsidRPr="008A61F2" w:rsidRDefault="008A61F2" w:rsidP="008A61F2">
            <w:pPr>
              <w:pStyle w:val="NormalWeb"/>
              <w:rPr>
                <w:rStyle w:val="Strong"/>
                <w:b w:val="0"/>
                <w:bCs w:val="0"/>
              </w:rPr>
            </w:pPr>
            <w:r w:rsidRPr="00957FD3">
              <w:rPr>
                <w:rStyle w:val="Strong"/>
                <w:color w:val="FF0000"/>
              </w:rPr>
              <w:t>Red</w:t>
            </w:r>
            <w:r w:rsidRPr="008A61F2">
              <w:t xml:space="preserve"> signifies that key factors are beyond </w:t>
            </w:r>
            <w:r w:rsidR="00432E2B">
              <w:t xml:space="preserve">the </w:t>
            </w:r>
            <w:r w:rsidRPr="008A61F2">
              <w:t xml:space="preserve">acceptable </w:t>
            </w:r>
            <w:r w:rsidR="00432E2B">
              <w:t>range</w:t>
            </w:r>
            <w:r w:rsidRPr="008A61F2">
              <w:t>, in the next 12 months there is a high likelihood of</w:t>
            </w:r>
            <w:r w:rsidR="00E52CAF">
              <w:t xml:space="preserve"> these</w:t>
            </w:r>
            <w:r w:rsidRPr="008A61F2">
              <w:t xml:space="preserve"> negatively affecting customer outcomes.</w:t>
            </w:r>
          </w:p>
        </w:tc>
      </w:tr>
    </w:tbl>
    <w:p w14:paraId="60F807F3" w14:textId="77777777" w:rsidR="008A61F2" w:rsidRPr="008A61F2" w:rsidRDefault="008A61F2" w:rsidP="008A61F2">
      <w:pPr>
        <w:pStyle w:val="NormalWeb"/>
        <w:rPr>
          <w:rStyle w:val="Strong"/>
          <w:sz w:val="22"/>
          <w:szCs w:val="22"/>
        </w:rPr>
      </w:pPr>
    </w:p>
    <w:p w14:paraId="4B02FF29" w14:textId="77777777" w:rsidR="001D7097" w:rsidRDefault="001D7097" w:rsidP="003A2171">
      <w:pPr>
        <w:sectPr w:rsidR="001D7097" w:rsidSect="00BA7F0F">
          <w:footerReference w:type="even" r:id="rId11"/>
          <w:footerReference w:type="default" r:id="rId12"/>
          <w:pgSz w:w="11906" w:h="16838"/>
          <w:pgMar w:top="284" w:right="992" w:bottom="851" w:left="992" w:header="709" w:footer="225" w:gutter="0"/>
          <w:cols w:space="708"/>
          <w:docGrid w:linePitch="360"/>
        </w:sectPr>
      </w:pPr>
    </w:p>
    <w:tbl>
      <w:tblPr>
        <w:tblStyle w:val="TableGrid"/>
        <w:tblW w:w="9758"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994"/>
        <w:gridCol w:w="7764"/>
      </w:tblGrid>
      <w:tr w:rsidR="003D0503" w:rsidRPr="00656E2F" w14:paraId="359947C9" w14:textId="77777777" w:rsidTr="001D7097">
        <w:trPr>
          <w:trHeight w:val="487"/>
        </w:trPr>
        <w:tc>
          <w:tcPr>
            <w:tcW w:w="9758" w:type="dxa"/>
            <w:gridSpan w:val="2"/>
            <w:shd w:val="clear" w:color="auto" w:fill="002060"/>
            <w:tcMar>
              <w:top w:w="57" w:type="dxa"/>
            </w:tcMar>
            <w:vAlign w:val="center"/>
          </w:tcPr>
          <w:p w14:paraId="33C55D4E" w14:textId="73036B8C" w:rsidR="003D0503" w:rsidRPr="003D0503" w:rsidRDefault="00220753" w:rsidP="003D0503">
            <w:pPr>
              <w:ind w:left="13"/>
            </w:pPr>
            <w:r>
              <w:rPr>
                <w:b/>
                <w:bCs/>
                <w:color w:val="FFFFFF" w:themeColor="background1"/>
                <w:sz w:val="28"/>
                <w:szCs w:val="28"/>
              </w:rPr>
              <w:lastRenderedPageBreak/>
              <w:t>Annuities</w:t>
            </w:r>
            <w:r w:rsidR="00533363">
              <w:rPr>
                <w:b/>
                <w:bCs/>
                <w:color w:val="FFFFFF" w:themeColor="background1"/>
                <w:sz w:val="28"/>
                <w:szCs w:val="28"/>
              </w:rPr>
              <w:t xml:space="preserve"> - </w:t>
            </w:r>
            <w:r w:rsidR="003D0503" w:rsidRPr="003D0503">
              <w:rPr>
                <w:b/>
                <w:bCs/>
                <w:color w:val="FFFFFF" w:themeColor="background1"/>
                <w:sz w:val="28"/>
                <w:szCs w:val="28"/>
              </w:rPr>
              <w:t>Key Metrics</w:t>
            </w:r>
          </w:p>
        </w:tc>
      </w:tr>
      <w:tr w:rsidR="00F01979" w:rsidRPr="00656E2F" w14:paraId="238BAC7C" w14:textId="77777777" w:rsidTr="0036311D">
        <w:trPr>
          <w:trHeight w:val="1569"/>
        </w:trPr>
        <w:tc>
          <w:tcPr>
            <w:tcW w:w="1994" w:type="dxa"/>
            <w:shd w:val="clear" w:color="auto" w:fill="002060"/>
            <w:tcMar>
              <w:top w:w="57" w:type="dxa"/>
            </w:tcMar>
          </w:tcPr>
          <w:p w14:paraId="60ABF6FF" w14:textId="77777777" w:rsidR="00F01979" w:rsidRPr="005C2F4C" w:rsidRDefault="00F01979" w:rsidP="00C322CB">
            <w:pPr>
              <w:rPr>
                <w:b/>
                <w:bCs/>
                <w:color w:val="FFFFFF" w:themeColor="background1"/>
              </w:rPr>
            </w:pPr>
            <w:r w:rsidRPr="005C2F4C">
              <w:rPr>
                <w:b/>
                <w:bCs/>
                <w:color w:val="FFFFFF" w:themeColor="background1"/>
              </w:rPr>
              <w:t>Products &amp; Services Outcome</w:t>
            </w:r>
          </w:p>
        </w:tc>
        <w:tc>
          <w:tcPr>
            <w:tcW w:w="7764" w:type="dxa"/>
            <w:shd w:val="clear" w:color="auto" w:fill="DAE9F7" w:themeFill="text2" w:themeFillTint="1A"/>
            <w:tcMar>
              <w:top w:w="57" w:type="dxa"/>
            </w:tcMar>
          </w:tcPr>
          <w:p w14:paraId="241502F8" w14:textId="77777777" w:rsidR="00AF1A5C" w:rsidRDefault="00AF1A5C" w:rsidP="00B41F71">
            <w:pPr>
              <w:pStyle w:val="ListParagraph"/>
              <w:numPr>
                <w:ilvl w:val="0"/>
                <w:numId w:val="4"/>
              </w:numPr>
              <w:ind w:left="311"/>
            </w:pPr>
            <w:r>
              <w:t>Complaints data</w:t>
            </w:r>
          </w:p>
          <w:p w14:paraId="551FA0DC" w14:textId="77777777" w:rsidR="00AF1A5C" w:rsidRDefault="00AF1A5C" w:rsidP="00B41F71">
            <w:pPr>
              <w:pStyle w:val="ListParagraph"/>
              <w:numPr>
                <w:ilvl w:val="0"/>
                <w:numId w:val="4"/>
              </w:numPr>
              <w:ind w:left="311"/>
            </w:pPr>
            <w:r>
              <w:t>Target Market data</w:t>
            </w:r>
          </w:p>
          <w:p w14:paraId="396AFDAD" w14:textId="77777777" w:rsidR="00AF1A5C" w:rsidRDefault="00AF1A5C" w:rsidP="00B41F71">
            <w:pPr>
              <w:pStyle w:val="ListParagraph"/>
              <w:numPr>
                <w:ilvl w:val="0"/>
                <w:numId w:val="4"/>
              </w:numPr>
              <w:ind w:left="311"/>
            </w:pPr>
            <w:r>
              <w:t>Ancillary Benefit Usage</w:t>
            </w:r>
          </w:p>
          <w:p w14:paraId="0C821A99" w14:textId="77777777" w:rsidR="00AF1A5C" w:rsidRDefault="00AF1A5C" w:rsidP="00B41F71">
            <w:pPr>
              <w:pStyle w:val="ListParagraph"/>
              <w:numPr>
                <w:ilvl w:val="0"/>
                <w:numId w:val="4"/>
              </w:numPr>
              <w:ind w:left="311"/>
            </w:pPr>
            <w:r>
              <w:t xml:space="preserve">Customer feedback </w:t>
            </w:r>
          </w:p>
          <w:p w14:paraId="09D09FB6" w14:textId="76431CA5" w:rsidR="00F01979" w:rsidRPr="0039603F" w:rsidRDefault="00AF1A5C" w:rsidP="00B41F71">
            <w:pPr>
              <w:pStyle w:val="ListParagraph"/>
              <w:numPr>
                <w:ilvl w:val="0"/>
                <w:numId w:val="4"/>
              </w:numPr>
              <w:ind w:left="311"/>
            </w:pPr>
            <w:r>
              <w:t>Social media reviews</w:t>
            </w:r>
          </w:p>
        </w:tc>
      </w:tr>
      <w:tr w:rsidR="00F01979" w14:paraId="73250266" w14:textId="77777777" w:rsidTr="006D002E">
        <w:trPr>
          <w:trHeight w:val="1890"/>
        </w:trPr>
        <w:tc>
          <w:tcPr>
            <w:tcW w:w="1994" w:type="dxa"/>
            <w:shd w:val="clear" w:color="auto" w:fill="002060"/>
            <w:tcMar>
              <w:top w:w="57" w:type="dxa"/>
            </w:tcMar>
          </w:tcPr>
          <w:p w14:paraId="790CE9B9" w14:textId="77777777" w:rsidR="00F01979" w:rsidRPr="005C2F4C" w:rsidRDefault="00F01979" w:rsidP="00C322CB">
            <w:pPr>
              <w:rPr>
                <w:color w:val="FFFFFF" w:themeColor="background1"/>
              </w:rPr>
            </w:pPr>
            <w:r w:rsidRPr="005C2F4C">
              <w:rPr>
                <w:b/>
                <w:bCs/>
                <w:color w:val="FFFFFF" w:themeColor="background1"/>
              </w:rPr>
              <w:t>Price &amp; Value Outcome</w:t>
            </w:r>
          </w:p>
        </w:tc>
        <w:tc>
          <w:tcPr>
            <w:tcW w:w="7764" w:type="dxa"/>
            <w:shd w:val="clear" w:color="auto" w:fill="DAE9F7" w:themeFill="text2" w:themeFillTint="1A"/>
            <w:tcMar>
              <w:top w:w="57" w:type="dxa"/>
            </w:tcMar>
          </w:tcPr>
          <w:p w14:paraId="12B88EFF" w14:textId="77777777" w:rsidR="00DE15FF" w:rsidRDefault="00DE15FF" w:rsidP="00B41F71">
            <w:pPr>
              <w:pStyle w:val="ListParagraph"/>
              <w:numPr>
                <w:ilvl w:val="0"/>
                <w:numId w:val="4"/>
              </w:numPr>
              <w:ind w:left="311"/>
            </w:pPr>
            <w:r>
              <w:t>Complaints data</w:t>
            </w:r>
          </w:p>
          <w:p w14:paraId="4D527B3E" w14:textId="77777777" w:rsidR="00DE15FF" w:rsidRDefault="00DE15FF" w:rsidP="00B41F71">
            <w:pPr>
              <w:pStyle w:val="ListParagraph"/>
              <w:numPr>
                <w:ilvl w:val="0"/>
                <w:numId w:val="4"/>
              </w:numPr>
              <w:ind w:left="311"/>
            </w:pPr>
            <w:r>
              <w:t>Profitability data</w:t>
            </w:r>
          </w:p>
          <w:p w14:paraId="704ED29C" w14:textId="77777777" w:rsidR="00DE15FF" w:rsidRDefault="00DE15FF" w:rsidP="00B41F71">
            <w:pPr>
              <w:pStyle w:val="ListParagraph"/>
              <w:numPr>
                <w:ilvl w:val="0"/>
                <w:numId w:val="4"/>
              </w:numPr>
              <w:ind w:left="311"/>
            </w:pPr>
            <w:r>
              <w:t>Premium data</w:t>
            </w:r>
          </w:p>
          <w:p w14:paraId="6A6706FC" w14:textId="77777777" w:rsidR="00DE15FF" w:rsidRDefault="00DE15FF" w:rsidP="00B41F71">
            <w:pPr>
              <w:pStyle w:val="ListParagraph"/>
              <w:numPr>
                <w:ilvl w:val="0"/>
                <w:numId w:val="4"/>
              </w:numPr>
              <w:ind w:left="311"/>
            </w:pPr>
            <w:r>
              <w:t xml:space="preserve">Social media reviews </w:t>
            </w:r>
          </w:p>
          <w:p w14:paraId="2309398F" w14:textId="77777777" w:rsidR="00F01979" w:rsidRDefault="00DE15FF" w:rsidP="00B41F71">
            <w:pPr>
              <w:pStyle w:val="ListParagraph"/>
              <w:numPr>
                <w:ilvl w:val="0"/>
                <w:numId w:val="4"/>
              </w:numPr>
              <w:ind w:left="311"/>
            </w:pPr>
            <w:r>
              <w:t>Distributor feedback</w:t>
            </w:r>
          </w:p>
          <w:p w14:paraId="2538125B" w14:textId="43F12A5E" w:rsidR="00F57524" w:rsidRPr="0039603F" w:rsidRDefault="00F57524" w:rsidP="00B41F71">
            <w:pPr>
              <w:pStyle w:val="ListParagraph"/>
              <w:numPr>
                <w:ilvl w:val="0"/>
                <w:numId w:val="4"/>
              </w:numPr>
              <w:ind w:left="311"/>
            </w:pPr>
            <w:r>
              <w:t>Market conditions data</w:t>
            </w:r>
          </w:p>
        </w:tc>
      </w:tr>
      <w:tr w:rsidR="00F01979" w14:paraId="014931BB" w14:textId="77777777" w:rsidTr="00C8469B">
        <w:trPr>
          <w:trHeight w:val="2172"/>
        </w:trPr>
        <w:tc>
          <w:tcPr>
            <w:tcW w:w="1994" w:type="dxa"/>
            <w:shd w:val="clear" w:color="auto" w:fill="002060"/>
            <w:tcMar>
              <w:top w:w="57" w:type="dxa"/>
            </w:tcMar>
          </w:tcPr>
          <w:p w14:paraId="6DD9FEFC" w14:textId="77777777" w:rsidR="00F01979" w:rsidRPr="005C2F4C" w:rsidRDefault="00F01979" w:rsidP="00C322CB">
            <w:pPr>
              <w:rPr>
                <w:color w:val="FFFFFF" w:themeColor="background1"/>
              </w:rPr>
            </w:pPr>
            <w:r w:rsidRPr="005C2F4C">
              <w:rPr>
                <w:b/>
                <w:bCs/>
                <w:color w:val="FFFFFF" w:themeColor="background1"/>
              </w:rPr>
              <w:t>Consumer Understanding Outcome</w:t>
            </w:r>
          </w:p>
        </w:tc>
        <w:tc>
          <w:tcPr>
            <w:tcW w:w="7764" w:type="dxa"/>
            <w:shd w:val="clear" w:color="auto" w:fill="DAE9F7" w:themeFill="text2" w:themeFillTint="1A"/>
            <w:tcMar>
              <w:top w:w="57" w:type="dxa"/>
            </w:tcMar>
          </w:tcPr>
          <w:p w14:paraId="2DEE8972" w14:textId="77777777" w:rsidR="00B41F71" w:rsidRDefault="00B41F71" w:rsidP="00B41F71">
            <w:pPr>
              <w:pStyle w:val="ListParagraph"/>
              <w:numPr>
                <w:ilvl w:val="0"/>
                <w:numId w:val="4"/>
              </w:numPr>
              <w:ind w:left="311"/>
            </w:pPr>
            <w:r>
              <w:t>Complaints data</w:t>
            </w:r>
          </w:p>
          <w:p w14:paraId="331BAAAA" w14:textId="77777777" w:rsidR="00B41F71" w:rsidRDefault="00B41F71" w:rsidP="00B41F71">
            <w:pPr>
              <w:pStyle w:val="ListParagraph"/>
              <w:numPr>
                <w:ilvl w:val="0"/>
                <w:numId w:val="4"/>
              </w:numPr>
              <w:ind w:left="311"/>
            </w:pPr>
            <w:r>
              <w:t>Ancillary Benefit Usage</w:t>
            </w:r>
          </w:p>
          <w:p w14:paraId="476F03D7" w14:textId="77777777" w:rsidR="00B41F71" w:rsidRDefault="00B41F71" w:rsidP="00B41F71">
            <w:pPr>
              <w:pStyle w:val="ListParagraph"/>
              <w:numPr>
                <w:ilvl w:val="0"/>
                <w:numId w:val="4"/>
              </w:numPr>
              <w:ind w:left="311"/>
            </w:pPr>
            <w:r>
              <w:t>Social media reviews</w:t>
            </w:r>
          </w:p>
          <w:p w14:paraId="08F31EE8" w14:textId="3015F4A9" w:rsidR="00B41F71" w:rsidRDefault="00B41F71" w:rsidP="00B41F71">
            <w:pPr>
              <w:pStyle w:val="ListParagraph"/>
              <w:numPr>
                <w:ilvl w:val="0"/>
                <w:numId w:val="4"/>
              </w:numPr>
              <w:ind w:left="311"/>
            </w:pPr>
            <w:r>
              <w:t>Customer response rates</w:t>
            </w:r>
          </w:p>
          <w:p w14:paraId="71F56EEA" w14:textId="77777777" w:rsidR="00B41F71" w:rsidRDefault="00B41F71" w:rsidP="00B41F71">
            <w:pPr>
              <w:pStyle w:val="ListParagraph"/>
              <w:numPr>
                <w:ilvl w:val="0"/>
                <w:numId w:val="4"/>
              </w:numPr>
              <w:ind w:left="311"/>
            </w:pPr>
            <w:r>
              <w:t>Website footfall</w:t>
            </w:r>
          </w:p>
          <w:p w14:paraId="6FACEF88" w14:textId="77777777" w:rsidR="00B41F71" w:rsidRDefault="00B41F71" w:rsidP="00B41F71">
            <w:pPr>
              <w:pStyle w:val="ListParagraph"/>
              <w:numPr>
                <w:ilvl w:val="0"/>
                <w:numId w:val="4"/>
              </w:numPr>
              <w:ind w:left="311"/>
            </w:pPr>
            <w:r>
              <w:t xml:space="preserve">Customer research </w:t>
            </w:r>
          </w:p>
          <w:p w14:paraId="226E6C9B" w14:textId="34A141BC" w:rsidR="00CD67BB" w:rsidRPr="00C8469B" w:rsidRDefault="00B41F71" w:rsidP="00C8469B">
            <w:pPr>
              <w:pStyle w:val="ListParagraph"/>
              <w:numPr>
                <w:ilvl w:val="0"/>
                <w:numId w:val="4"/>
              </w:numPr>
              <w:ind w:left="311"/>
            </w:pPr>
            <w:r>
              <w:t>Customer surveys and questionnaires</w:t>
            </w:r>
          </w:p>
        </w:tc>
      </w:tr>
      <w:tr w:rsidR="00F01979" w14:paraId="09132E47" w14:textId="77777777" w:rsidTr="00956F91">
        <w:trPr>
          <w:trHeight w:val="3309"/>
        </w:trPr>
        <w:tc>
          <w:tcPr>
            <w:tcW w:w="1994" w:type="dxa"/>
            <w:shd w:val="clear" w:color="auto" w:fill="002060"/>
            <w:tcMar>
              <w:top w:w="57" w:type="dxa"/>
            </w:tcMar>
          </w:tcPr>
          <w:p w14:paraId="700587FB" w14:textId="77777777" w:rsidR="00F01979" w:rsidRPr="005C2F4C" w:rsidRDefault="00F01979" w:rsidP="00C322CB">
            <w:pPr>
              <w:rPr>
                <w:color w:val="FFFFFF" w:themeColor="background1"/>
              </w:rPr>
            </w:pPr>
            <w:r w:rsidRPr="005C2F4C">
              <w:rPr>
                <w:b/>
                <w:bCs/>
                <w:color w:val="FFFFFF" w:themeColor="background1"/>
              </w:rPr>
              <w:t>Consumer Support Outcome</w:t>
            </w:r>
          </w:p>
        </w:tc>
        <w:tc>
          <w:tcPr>
            <w:tcW w:w="7764" w:type="dxa"/>
            <w:shd w:val="clear" w:color="auto" w:fill="DAE9F7" w:themeFill="text2" w:themeFillTint="1A"/>
            <w:tcMar>
              <w:top w:w="57" w:type="dxa"/>
            </w:tcMar>
          </w:tcPr>
          <w:p w14:paraId="3452F48F" w14:textId="77777777" w:rsidR="00962D23" w:rsidRDefault="00962D23" w:rsidP="00962D23">
            <w:pPr>
              <w:pStyle w:val="ListParagraph"/>
              <w:numPr>
                <w:ilvl w:val="0"/>
                <w:numId w:val="4"/>
              </w:numPr>
              <w:ind w:left="311"/>
            </w:pPr>
            <w:r>
              <w:t>Customer satisfaction survey results</w:t>
            </w:r>
          </w:p>
          <w:p w14:paraId="6D7CF12E" w14:textId="77777777" w:rsidR="00962D23" w:rsidRDefault="00962D23" w:rsidP="00962D23">
            <w:pPr>
              <w:pStyle w:val="ListParagraph"/>
              <w:numPr>
                <w:ilvl w:val="0"/>
                <w:numId w:val="4"/>
              </w:numPr>
              <w:ind w:left="311"/>
            </w:pPr>
            <w:r>
              <w:t>Online review star ratings</w:t>
            </w:r>
          </w:p>
          <w:p w14:paraId="6D3D6CBE" w14:textId="72B769D1" w:rsidR="00962D23" w:rsidRDefault="00962D23" w:rsidP="00962D23">
            <w:pPr>
              <w:pStyle w:val="ListParagraph"/>
              <w:numPr>
                <w:ilvl w:val="0"/>
                <w:numId w:val="4"/>
              </w:numPr>
              <w:ind w:left="311"/>
            </w:pPr>
            <w:r>
              <w:t>Telephone feedback results</w:t>
            </w:r>
          </w:p>
          <w:p w14:paraId="688198C0" w14:textId="2D4537DC" w:rsidR="00962D23" w:rsidRDefault="00962D23" w:rsidP="00962D23">
            <w:pPr>
              <w:pStyle w:val="ListParagraph"/>
              <w:numPr>
                <w:ilvl w:val="0"/>
                <w:numId w:val="4"/>
              </w:numPr>
              <w:ind w:left="311"/>
            </w:pPr>
            <w:r>
              <w:t>Social media reviews</w:t>
            </w:r>
          </w:p>
          <w:p w14:paraId="4ECDF4F6" w14:textId="77777777" w:rsidR="00962D23" w:rsidRDefault="00962D23" w:rsidP="00962D23">
            <w:pPr>
              <w:pStyle w:val="ListParagraph"/>
              <w:numPr>
                <w:ilvl w:val="0"/>
                <w:numId w:val="4"/>
              </w:numPr>
              <w:ind w:left="311"/>
            </w:pPr>
            <w:r>
              <w:t>Complaints data</w:t>
            </w:r>
          </w:p>
          <w:p w14:paraId="4E3B5AD5" w14:textId="5BED0C0D" w:rsidR="00962D23" w:rsidRDefault="00962D23" w:rsidP="00962D23">
            <w:pPr>
              <w:pStyle w:val="ListParagraph"/>
              <w:numPr>
                <w:ilvl w:val="0"/>
                <w:numId w:val="4"/>
              </w:numPr>
              <w:ind w:left="311"/>
            </w:pPr>
            <w:r>
              <w:t xml:space="preserve">Call statistics including lost calls/abandoned calls and not returned calls </w:t>
            </w:r>
          </w:p>
          <w:p w14:paraId="56187292" w14:textId="77777777" w:rsidR="00962D23" w:rsidRDefault="00962D23" w:rsidP="00962D23">
            <w:pPr>
              <w:pStyle w:val="ListParagraph"/>
              <w:numPr>
                <w:ilvl w:val="0"/>
                <w:numId w:val="4"/>
              </w:numPr>
              <w:ind w:left="311"/>
            </w:pPr>
            <w:r>
              <w:t>Target Market data</w:t>
            </w:r>
          </w:p>
          <w:p w14:paraId="02F0390A" w14:textId="6F420ABD" w:rsidR="00962D23" w:rsidRDefault="00962D23" w:rsidP="00962D23">
            <w:pPr>
              <w:pStyle w:val="ListParagraph"/>
              <w:numPr>
                <w:ilvl w:val="0"/>
                <w:numId w:val="4"/>
              </w:numPr>
              <w:ind w:left="311"/>
            </w:pPr>
            <w:r>
              <w:t>Social media reviews</w:t>
            </w:r>
          </w:p>
          <w:p w14:paraId="3877E320" w14:textId="31707BD8" w:rsidR="00962D23" w:rsidRDefault="00962D23" w:rsidP="00962D23">
            <w:pPr>
              <w:pStyle w:val="ListParagraph"/>
              <w:numPr>
                <w:ilvl w:val="0"/>
                <w:numId w:val="4"/>
              </w:numPr>
              <w:ind w:left="311"/>
            </w:pPr>
            <w:r>
              <w:t>Call monitoring and listening output</w:t>
            </w:r>
          </w:p>
          <w:p w14:paraId="6A51198A" w14:textId="6AEA28E7" w:rsidR="00962D23" w:rsidRDefault="00962D23" w:rsidP="00962D23">
            <w:pPr>
              <w:pStyle w:val="ListParagraph"/>
              <w:numPr>
                <w:ilvl w:val="0"/>
                <w:numId w:val="4"/>
              </w:numPr>
              <w:ind w:left="311"/>
            </w:pPr>
            <w:r>
              <w:t>Resolution timescales</w:t>
            </w:r>
          </w:p>
          <w:p w14:paraId="7808EA58" w14:textId="227B5F9E" w:rsidR="00F01979" w:rsidRPr="0039603F" w:rsidRDefault="00962D23" w:rsidP="00962D23">
            <w:pPr>
              <w:pStyle w:val="ListParagraph"/>
              <w:numPr>
                <w:ilvl w:val="0"/>
                <w:numId w:val="4"/>
              </w:numPr>
              <w:ind w:left="311"/>
            </w:pPr>
            <w:r>
              <w:t>Staff training completion rates</w:t>
            </w:r>
          </w:p>
        </w:tc>
      </w:tr>
    </w:tbl>
    <w:p w14:paraId="05FB4631" w14:textId="77777777" w:rsidR="00F01979" w:rsidRDefault="00F01979" w:rsidP="008658A0">
      <w:pPr>
        <w:spacing w:after="0" w:line="240" w:lineRule="auto"/>
      </w:pPr>
    </w:p>
    <w:p w14:paraId="51623446" w14:textId="34A0677F" w:rsidR="000B6C3B" w:rsidRDefault="000B6C3B" w:rsidP="008658A0">
      <w:pPr>
        <w:spacing w:after="0" w:line="240" w:lineRule="auto"/>
      </w:pPr>
    </w:p>
    <w:p w14:paraId="30D24886" w14:textId="77777777" w:rsidR="00BA7F0F" w:rsidRDefault="00BA7F0F">
      <w:pPr>
        <w:rPr>
          <w:b/>
          <w:bCs/>
          <w:color w:val="07B4B7"/>
          <w:sz w:val="32"/>
          <w:szCs w:val="32"/>
        </w:rPr>
      </w:pPr>
      <w:r>
        <w:rPr>
          <w:b/>
          <w:bCs/>
          <w:color w:val="07B4B7"/>
          <w:sz w:val="32"/>
          <w:szCs w:val="32"/>
        </w:rPr>
        <w:br w:type="page"/>
      </w:r>
    </w:p>
    <w:tbl>
      <w:tblPr>
        <w:tblW w:w="10196" w:type="dxa"/>
        <w:tblBorders>
          <w:left w:val="single" w:sz="18" w:space="0" w:color="FFFFFF"/>
          <w:right w:val="single" w:sz="18" w:space="0" w:color="FFFFFF"/>
          <w:insideH w:val="single" w:sz="18" w:space="0" w:color="FFFFFF"/>
          <w:insideV w:val="single" w:sz="8" w:space="0" w:color="FFFFFF"/>
        </w:tblBorders>
        <w:tblLayout w:type="fixed"/>
        <w:tblCellMar>
          <w:left w:w="0" w:type="dxa"/>
          <w:right w:w="0" w:type="dxa"/>
        </w:tblCellMar>
        <w:tblLook w:val="01E0" w:firstRow="1" w:lastRow="1" w:firstColumn="1" w:lastColumn="1" w:noHBand="0" w:noVBand="0"/>
      </w:tblPr>
      <w:tblGrid>
        <w:gridCol w:w="3109"/>
        <w:gridCol w:w="850"/>
        <w:gridCol w:w="6237"/>
      </w:tblGrid>
      <w:tr w:rsidR="004E114A" w14:paraId="49DD4E8A" w14:textId="77777777" w:rsidTr="006136BF">
        <w:trPr>
          <w:trHeight w:val="547"/>
        </w:trPr>
        <w:tc>
          <w:tcPr>
            <w:tcW w:w="10196" w:type="dxa"/>
            <w:gridSpan w:val="3"/>
            <w:shd w:val="clear" w:color="auto" w:fill="002060"/>
            <w:vAlign w:val="center"/>
          </w:tcPr>
          <w:p w14:paraId="30A1CA5E" w14:textId="01D0A775" w:rsidR="004E114A" w:rsidRPr="00A0732B" w:rsidRDefault="00220753" w:rsidP="00ED55BC">
            <w:pPr>
              <w:spacing w:after="0" w:line="240" w:lineRule="auto"/>
              <w:ind w:left="142"/>
              <w:rPr>
                <w:b/>
                <w:bCs/>
                <w:color w:val="FFFFFF" w:themeColor="background1"/>
                <w:sz w:val="28"/>
                <w:szCs w:val="28"/>
              </w:rPr>
            </w:pPr>
            <w:r>
              <w:rPr>
                <w:b/>
                <w:bCs/>
                <w:color w:val="FFFFFF" w:themeColor="background1"/>
                <w:sz w:val="28"/>
                <w:szCs w:val="28"/>
              </w:rPr>
              <w:lastRenderedPageBreak/>
              <w:t>Annuities</w:t>
            </w:r>
            <w:r w:rsidR="00533363">
              <w:rPr>
                <w:b/>
                <w:bCs/>
                <w:color w:val="FFFFFF" w:themeColor="background1"/>
                <w:sz w:val="28"/>
                <w:szCs w:val="28"/>
              </w:rPr>
              <w:t xml:space="preserve"> - </w:t>
            </w:r>
            <w:r w:rsidR="004E114A" w:rsidRPr="00E157BA">
              <w:rPr>
                <w:b/>
                <w:bCs/>
                <w:color w:val="FFFFFF" w:themeColor="background1"/>
                <w:sz w:val="28"/>
                <w:szCs w:val="28"/>
              </w:rPr>
              <w:t>Compliance with FCA PROD4 rules</w:t>
            </w:r>
          </w:p>
        </w:tc>
      </w:tr>
      <w:tr w:rsidR="002D1673" w:rsidRPr="00910DBA" w14:paraId="4BC412D9" w14:textId="77777777" w:rsidTr="006136BF">
        <w:trPr>
          <w:trHeight w:val="1003"/>
        </w:trPr>
        <w:tc>
          <w:tcPr>
            <w:tcW w:w="3109" w:type="dxa"/>
            <w:tcBorders>
              <w:right w:val="single" w:sz="18" w:space="0" w:color="FFFFFF"/>
            </w:tcBorders>
            <w:shd w:val="clear" w:color="auto" w:fill="DAE9F7" w:themeFill="text2" w:themeFillTint="1A"/>
          </w:tcPr>
          <w:p w14:paraId="063DAE8D" w14:textId="77777777" w:rsidR="002D1673" w:rsidRPr="004E114A" w:rsidRDefault="002D1673" w:rsidP="00B31653">
            <w:pPr>
              <w:spacing w:before="120" w:after="0" w:line="240" w:lineRule="auto"/>
              <w:ind w:left="142"/>
              <w:rPr>
                <w:sz w:val="22"/>
                <w:szCs w:val="22"/>
              </w:rPr>
            </w:pPr>
            <w:r w:rsidRPr="004E114A">
              <w:rPr>
                <w:sz w:val="22"/>
                <w:szCs w:val="22"/>
              </w:rPr>
              <w:t>National Deposit Friendly Society Limited is the product manufacturer</w:t>
            </w:r>
          </w:p>
        </w:tc>
        <w:tc>
          <w:tcPr>
            <w:tcW w:w="850" w:type="dxa"/>
            <w:tcBorders>
              <w:top w:val="single" w:sz="18" w:space="0" w:color="FFFFFF"/>
              <w:left w:val="single" w:sz="18" w:space="0" w:color="FFFFFF"/>
              <w:bottom w:val="single" w:sz="18" w:space="0" w:color="FFFFFF"/>
              <w:right w:val="single" w:sz="18" w:space="0" w:color="FFFFFF"/>
            </w:tcBorders>
            <w:shd w:val="clear" w:color="auto" w:fill="DAE9F7" w:themeFill="text2" w:themeFillTint="1A"/>
          </w:tcPr>
          <w:p w14:paraId="075E1438" w14:textId="0B41CB8D" w:rsidR="002D1673" w:rsidRPr="0058303D" w:rsidRDefault="002D1673" w:rsidP="0047441C">
            <w:pPr>
              <w:pStyle w:val="TableParagraph"/>
              <w:spacing w:before="20" w:after="1"/>
              <w:ind w:left="0"/>
              <w:jc w:val="center"/>
              <w:rPr>
                <w:rFonts w:ascii="Wingdings 2" w:hAnsi="Wingdings 2"/>
                <w:b/>
                <w:bCs/>
                <w:color w:val="00B050"/>
                <w:sz w:val="72"/>
                <w:szCs w:val="72"/>
              </w:rPr>
            </w:pPr>
            <w:r w:rsidRPr="0058303D">
              <w:rPr>
                <w:rFonts w:ascii="Wingdings 2" w:hAnsi="Wingdings 2"/>
                <w:b/>
                <w:bCs/>
                <w:color w:val="00B050"/>
                <w:sz w:val="72"/>
                <w:szCs w:val="72"/>
              </w:rPr>
              <w:t>P</w:t>
            </w:r>
          </w:p>
          <w:p w14:paraId="3F3A5646" w14:textId="3557FFDD" w:rsidR="002D1673" w:rsidRDefault="002D1673" w:rsidP="0047441C">
            <w:pPr>
              <w:pStyle w:val="TableParagraph"/>
              <w:ind w:left="1888"/>
              <w:jc w:val="center"/>
              <w:rPr>
                <w:rFonts w:ascii="Arial Black"/>
                <w:sz w:val="20"/>
              </w:rPr>
            </w:pPr>
          </w:p>
        </w:tc>
        <w:tc>
          <w:tcPr>
            <w:tcW w:w="6237" w:type="dxa"/>
            <w:tcBorders>
              <w:left w:val="single" w:sz="18" w:space="0" w:color="FFFFFF"/>
            </w:tcBorders>
            <w:shd w:val="clear" w:color="auto" w:fill="DAE9F7" w:themeFill="text2" w:themeFillTint="1A"/>
          </w:tcPr>
          <w:p w14:paraId="3C0CA288" w14:textId="77777777" w:rsidR="002D1673" w:rsidRPr="00470CA4" w:rsidRDefault="002D1673" w:rsidP="00B31653">
            <w:pPr>
              <w:spacing w:before="120" w:after="0" w:line="240" w:lineRule="auto"/>
              <w:ind w:left="142"/>
              <w:rPr>
                <w:sz w:val="20"/>
              </w:rPr>
            </w:pPr>
            <w:r w:rsidRPr="00470CA4">
              <w:rPr>
                <w:sz w:val="22"/>
                <w:szCs w:val="22"/>
              </w:rPr>
              <w:t>The Society has a product governance framework in place in line with the FCA’s PROD4 requirements.</w:t>
            </w:r>
          </w:p>
        </w:tc>
      </w:tr>
      <w:tr w:rsidR="002D1673" w14:paraId="03333820" w14:textId="77777777" w:rsidTr="006136BF">
        <w:trPr>
          <w:trHeight w:val="1505"/>
        </w:trPr>
        <w:tc>
          <w:tcPr>
            <w:tcW w:w="3109" w:type="dxa"/>
            <w:tcBorders>
              <w:top w:val="single" w:sz="18" w:space="0" w:color="FFFFFF"/>
              <w:bottom w:val="nil"/>
              <w:right w:val="single" w:sz="18" w:space="0" w:color="FFFFFF"/>
            </w:tcBorders>
            <w:shd w:val="clear" w:color="auto" w:fill="DAE9F7" w:themeFill="text2" w:themeFillTint="1A"/>
          </w:tcPr>
          <w:p w14:paraId="0EFDD758" w14:textId="690285B1" w:rsidR="002D1673" w:rsidRPr="004E114A" w:rsidRDefault="002D1673" w:rsidP="00207655">
            <w:pPr>
              <w:pStyle w:val="TableParagraph"/>
              <w:spacing w:before="63" w:line="228" w:lineRule="auto"/>
              <w:rPr>
                <w:rFonts w:asciiTheme="minorHAnsi" w:hAnsiTheme="minorHAnsi"/>
              </w:rPr>
            </w:pPr>
            <w:r w:rsidRPr="004E114A">
              <w:rPr>
                <w:rFonts w:asciiTheme="minorHAnsi" w:hAnsiTheme="minorHAnsi"/>
              </w:rPr>
              <w:t>We</w:t>
            </w:r>
            <w:r w:rsidRPr="004E114A">
              <w:rPr>
                <w:rFonts w:asciiTheme="minorHAnsi" w:hAnsiTheme="minorHAnsi"/>
                <w:spacing w:val="-3"/>
              </w:rPr>
              <w:t xml:space="preserve"> </w:t>
            </w:r>
            <w:r w:rsidRPr="004E114A">
              <w:rPr>
                <w:rFonts w:asciiTheme="minorHAnsi" w:hAnsiTheme="minorHAnsi"/>
              </w:rPr>
              <w:t>have</w:t>
            </w:r>
            <w:r w:rsidRPr="004E114A">
              <w:rPr>
                <w:rFonts w:asciiTheme="minorHAnsi" w:hAnsiTheme="minorHAnsi"/>
                <w:spacing w:val="-3"/>
              </w:rPr>
              <w:t xml:space="preserve"> </w:t>
            </w:r>
            <w:r w:rsidRPr="004E114A">
              <w:rPr>
                <w:rFonts w:asciiTheme="minorHAnsi" w:hAnsiTheme="minorHAnsi"/>
              </w:rPr>
              <w:t>carried</w:t>
            </w:r>
            <w:r w:rsidRPr="004E114A">
              <w:rPr>
                <w:rFonts w:asciiTheme="minorHAnsi" w:hAnsiTheme="minorHAnsi"/>
                <w:spacing w:val="-3"/>
              </w:rPr>
              <w:t xml:space="preserve"> </w:t>
            </w:r>
            <w:r w:rsidRPr="004E114A">
              <w:rPr>
                <w:rFonts w:asciiTheme="minorHAnsi" w:hAnsiTheme="minorHAnsi"/>
              </w:rPr>
              <w:t>out</w:t>
            </w:r>
            <w:r w:rsidRPr="004E114A">
              <w:rPr>
                <w:rFonts w:asciiTheme="minorHAnsi" w:hAnsiTheme="minorHAnsi"/>
                <w:spacing w:val="-3"/>
              </w:rPr>
              <w:t xml:space="preserve"> </w:t>
            </w:r>
            <w:r w:rsidRPr="004E114A">
              <w:rPr>
                <w:rFonts w:asciiTheme="minorHAnsi" w:hAnsiTheme="minorHAnsi"/>
              </w:rPr>
              <w:t>an</w:t>
            </w:r>
            <w:r w:rsidRPr="004E114A">
              <w:rPr>
                <w:rFonts w:asciiTheme="minorHAnsi" w:hAnsiTheme="minorHAnsi"/>
                <w:spacing w:val="-3"/>
              </w:rPr>
              <w:t xml:space="preserve"> </w:t>
            </w:r>
            <w:r w:rsidRPr="004E114A">
              <w:rPr>
                <w:rFonts w:asciiTheme="minorHAnsi" w:hAnsiTheme="minorHAnsi"/>
              </w:rPr>
              <w:t>assessment</w:t>
            </w:r>
            <w:r w:rsidRPr="004E114A">
              <w:rPr>
                <w:rFonts w:asciiTheme="minorHAnsi" w:hAnsiTheme="minorHAnsi"/>
                <w:spacing w:val="-3"/>
              </w:rPr>
              <w:t xml:space="preserve"> </w:t>
            </w:r>
            <w:r w:rsidRPr="004E114A">
              <w:rPr>
                <w:rFonts w:asciiTheme="minorHAnsi" w:hAnsiTheme="minorHAnsi"/>
              </w:rPr>
              <w:t>on</w:t>
            </w:r>
            <w:r w:rsidRPr="004E114A">
              <w:rPr>
                <w:rFonts w:asciiTheme="minorHAnsi" w:hAnsiTheme="minorHAnsi"/>
                <w:spacing w:val="-3"/>
              </w:rPr>
              <w:t xml:space="preserve"> </w:t>
            </w:r>
            <w:r w:rsidRPr="004E114A">
              <w:rPr>
                <w:rFonts w:asciiTheme="minorHAnsi" w:hAnsiTheme="minorHAnsi"/>
              </w:rPr>
              <w:t xml:space="preserve">the </w:t>
            </w:r>
            <w:r w:rsidRPr="004E114A">
              <w:rPr>
                <w:rFonts w:asciiTheme="minorHAnsi" w:hAnsiTheme="minorHAnsi"/>
                <w:w w:val="105"/>
              </w:rPr>
              <w:t>product in line with FCA PROD4 requirements,</w:t>
            </w:r>
            <w:r w:rsidRPr="004E114A">
              <w:rPr>
                <w:rFonts w:asciiTheme="minorHAnsi" w:hAnsiTheme="minorHAnsi"/>
                <w:spacing w:val="-2"/>
                <w:w w:val="105"/>
              </w:rPr>
              <w:t xml:space="preserve"> </w:t>
            </w:r>
            <w:r w:rsidRPr="004E114A">
              <w:rPr>
                <w:rFonts w:asciiTheme="minorHAnsi" w:hAnsiTheme="minorHAnsi"/>
                <w:w w:val="105"/>
              </w:rPr>
              <w:t>including</w:t>
            </w:r>
            <w:r w:rsidRPr="004E114A">
              <w:rPr>
                <w:rFonts w:asciiTheme="minorHAnsi" w:hAnsiTheme="minorHAnsi"/>
                <w:spacing w:val="-2"/>
                <w:w w:val="105"/>
              </w:rPr>
              <w:t xml:space="preserve"> </w:t>
            </w:r>
            <w:r w:rsidRPr="004E114A">
              <w:rPr>
                <w:rFonts w:asciiTheme="minorHAnsi" w:hAnsiTheme="minorHAnsi"/>
                <w:w w:val="105"/>
              </w:rPr>
              <w:t>confirmation</w:t>
            </w:r>
            <w:r w:rsidRPr="004E114A">
              <w:rPr>
                <w:rFonts w:asciiTheme="minorHAnsi" w:hAnsiTheme="minorHAnsi"/>
                <w:spacing w:val="-2"/>
                <w:w w:val="105"/>
              </w:rPr>
              <w:t xml:space="preserve"> </w:t>
            </w:r>
            <w:r w:rsidRPr="004E114A">
              <w:rPr>
                <w:rFonts w:asciiTheme="minorHAnsi" w:hAnsiTheme="minorHAnsi"/>
                <w:w w:val="105"/>
              </w:rPr>
              <w:t>that</w:t>
            </w:r>
            <w:r w:rsidRPr="004E114A">
              <w:rPr>
                <w:rFonts w:asciiTheme="minorHAnsi" w:hAnsiTheme="minorHAnsi"/>
                <w:spacing w:val="-2"/>
                <w:w w:val="105"/>
              </w:rPr>
              <w:t xml:space="preserve"> </w:t>
            </w:r>
            <w:r w:rsidRPr="004E114A">
              <w:rPr>
                <w:rFonts w:asciiTheme="minorHAnsi" w:hAnsiTheme="minorHAnsi"/>
                <w:w w:val="105"/>
              </w:rPr>
              <w:t>we</w:t>
            </w:r>
            <w:r w:rsidRPr="004E114A">
              <w:rPr>
                <w:rFonts w:asciiTheme="minorHAnsi" w:hAnsiTheme="minorHAnsi"/>
                <w:spacing w:val="-2"/>
                <w:w w:val="105"/>
              </w:rPr>
              <w:t xml:space="preserve"> </w:t>
            </w:r>
            <w:r w:rsidRPr="004E114A">
              <w:rPr>
                <w:rFonts w:asciiTheme="minorHAnsi" w:hAnsiTheme="minorHAnsi"/>
                <w:w w:val="105"/>
              </w:rPr>
              <w:t>have</w:t>
            </w:r>
            <w:r>
              <w:rPr>
                <w:rFonts w:asciiTheme="minorHAnsi" w:hAnsiTheme="minorHAnsi"/>
                <w:w w:val="105"/>
              </w:rPr>
              <w:t>:</w:t>
            </w:r>
          </w:p>
        </w:tc>
        <w:tc>
          <w:tcPr>
            <w:tcW w:w="850" w:type="dxa"/>
            <w:tcBorders>
              <w:top w:val="single" w:sz="18" w:space="0" w:color="FFFFFF"/>
              <w:left w:val="single" w:sz="18" w:space="0" w:color="FFFFFF"/>
              <w:bottom w:val="nil"/>
              <w:right w:val="single" w:sz="18" w:space="0" w:color="FFFFFF"/>
            </w:tcBorders>
            <w:shd w:val="clear" w:color="auto" w:fill="DAE9F7" w:themeFill="text2" w:themeFillTint="1A"/>
          </w:tcPr>
          <w:p w14:paraId="74F9C563" w14:textId="4AE0B60C" w:rsidR="002D1673" w:rsidRPr="0058303D" w:rsidRDefault="002D1673" w:rsidP="0047441C">
            <w:pPr>
              <w:pStyle w:val="TableParagraph"/>
              <w:spacing w:before="20" w:after="1"/>
              <w:ind w:left="0"/>
              <w:jc w:val="center"/>
              <w:rPr>
                <w:rFonts w:ascii="Wingdings 2" w:hAnsi="Wingdings 2"/>
                <w:b/>
                <w:bCs/>
                <w:color w:val="00B050"/>
                <w:sz w:val="72"/>
                <w:szCs w:val="72"/>
              </w:rPr>
            </w:pPr>
          </w:p>
          <w:p w14:paraId="3B3B1453" w14:textId="77777777" w:rsidR="002D1673" w:rsidRDefault="002D1673" w:rsidP="0047441C">
            <w:pPr>
              <w:pStyle w:val="TableParagraph"/>
              <w:spacing w:before="59" w:after="1"/>
              <w:ind w:left="0"/>
              <w:jc w:val="center"/>
              <w:rPr>
                <w:rFonts w:ascii="Arial Black"/>
                <w:sz w:val="20"/>
              </w:rPr>
            </w:pPr>
          </w:p>
          <w:p w14:paraId="64878752" w14:textId="77777777" w:rsidR="002D1673" w:rsidRDefault="002D1673" w:rsidP="0047441C">
            <w:pPr>
              <w:pStyle w:val="TableParagraph"/>
              <w:ind w:left="1888"/>
              <w:jc w:val="center"/>
              <w:rPr>
                <w:rFonts w:ascii="Arial Black"/>
                <w:sz w:val="20"/>
              </w:rPr>
            </w:pPr>
          </w:p>
        </w:tc>
        <w:tc>
          <w:tcPr>
            <w:tcW w:w="6237" w:type="dxa"/>
            <w:tcBorders>
              <w:left w:val="single" w:sz="18" w:space="0" w:color="FFFFFF"/>
              <w:bottom w:val="nil"/>
            </w:tcBorders>
            <w:shd w:val="clear" w:color="auto" w:fill="DAE9F7" w:themeFill="text2" w:themeFillTint="1A"/>
          </w:tcPr>
          <w:p w14:paraId="5037AEA1" w14:textId="77447BEF" w:rsidR="002D1673" w:rsidRPr="00470CA4" w:rsidRDefault="002D1673" w:rsidP="00107A79">
            <w:pPr>
              <w:pStyle w:val="TableParagraph"/>
              <w:rPr>
                <w:sz w:val="20"/>
              </w:rPr>
            </w:pPr>
          </w:p>
        </w:tc>
      </w:tr>
      <w:tr w:rsidR="002D1673" w14:paraId="205F9F76" w14:textId="77777777" w:rsidTr="00F41234">
        <w:trPr>
          <w:trHeight w:val="1326"/>
        </w:trPr>
        <w:tc>
          <w:tcPr>
            <w:tcW w:w="3109" w:type="dxa"/>
            <w:tcBorders>
              <w:top w:val="nil"/>
              <w:bottom w:val="single" w:sz="18" w:space="0" w:color="FFFFFF"/>
              <w:right w:val="single" w:sz="18" w:space="0" w:color="FFFFFF"/>
            </w:tcBorders>
            <w:shd w:val="clear" w:color="auto" w:fill="DAE9F7" w:themeFill="text2" w:themeFillTint="1A"/>
          </w:tcPr>
          <w:p w14:paraId="54DE07E9" w14:textId="574E322E" w:rsidR="002D1673" w:rsidRPr="004E114A" w:rsidRDefault="002D1673" w:rsidP="00207655">
            <w:pPr>
              <w:pStyle w:val="TableParagraph"/>
              <w:numPr>
                <w:ilvl w:val="0"/>
                <w:numId w:val="19"/>
              </w:numPr>
              <w:spacing w:before="63" w:line="228" w:lineRule="auto"/>
              <w:ind w:left="426" w:hanging="283"/>
              <w:rPr>
                <w:rFonts w:asciiTheme="minorHAnsi" w:hAnsiTheme="minorHAnsi"/>
              </w:rPr>
            </w:pPr>
            <w:r w:rsidRPr="004E114A">
              <w:rPr>
                <w:rFonts w:asciiTheme="minorHAnsi" w:hAnsiTheme="minorHAnsi"/>
              </w:rPr>
              <w:t>Identified</w:t>
            </w:r>
            <w:r w:rsidRPr="004E114A">
              <w:rPr>
                <w:rFonts w:asciiTheme="minorHAnsi" w:hAnsiTheme="minorHAnsi"/>
                <w:spacing w:val="9"/>
              </w:rPr>
              <w:t xml:space="preserve"> </w:t>
            </w:r>
            <w:r w:rsidRPr="004E114A">
              <w:rPr>
                <w:rFonts w:asciiTheme="minorHAnsi" w:hAnsiTheme="minorHAnsi"/>
              </w:rPr>
              <w:t>the</w:t>
            </w:r>
            <w:r w:rsidRPr="004E114A">
              <w:rPr>
                <w:rFonts w:asciiTheme="minorHAnsi" w:hAnsiTheme="minorHAnsi"/>
                <w:spacing w:val="9"/>
              </w:rPr>
              <w:t xml:space="preserve"> </w:t>
            </w:r>
            <w:r w:rsidRPr="004E114A">
              <w:rPr>
                <w:rFonts w:asciiTheme="minorHAnsi" w:hAnsiTheme="minorHAnsi"/>
              </w:rPr>
              <w:t>target</w:t>
            </w:r>
            <w:r w:rsidRPr="004E114A">
              <w:rPr>
                <w:rFonts w:asciiTheme="minorHAnsi" w:hAnsiTheme="minorHAnsi"/>
                <w:spacing w:val="9"/>
              </w:rPr>
              <w:t xml:space="preserve"> </w:t>
            </w:r>
            <w:r w:rsidRPr="004E114A">
              <w:rPr>
                <w:rFonts w:asciiTheme="minorHAnsi" w:hAnsiTheme="minorHAnsi"/>
                <w:spacing w:val="-2"/>
              </w:rPr>
              <w:t>market</w:t>
            </w:r>
          </w:p>
        </w:tc>
        <w:tc>
          <w:tcPr>
            <w:tcW w:w="850" w:type="dxa"/>
            <w:tcBorders>
              <w:top w:val="nil"/>
              <w:left w:val="single" w:sz="18" w:space="0" w:color="FFFFFF"/>
              <w:bottom w:val="single" w:sz="18" w:space="0" w:color="FFFFFF"/>
              <w:right w:val="single" w:sz="18" w:space="0" w:color="FFFFFF"/>
            </w:tcBorders>
            <w:shd w:val="clear" w:color="auto" w:fill="DAE9F7" w:themeFill="text2" w:themeFillTint="1A"/>
          </w:tcPr>
          <w:p w14:paraId="64E258EC" w14:textId="2AAD068A" w:rsidR="002D1673" w:rsidRPr="0058303D" w:rsidRDefault="0064715F" w:rsidP="0047441C">
            <w:pPr>
              <w:pStyle w:val="TableParagraph"/>
              <w:spacing w:before="20" w:after="1"/>
              <w:ind w:left="0"/>
              <w:jc w:val="center"/>
              <w:rPr>
                <w:rFonts w:ascii="Wingdings 2" w:hAnsi="Wingdings 2"/>
                <w:b/>
                <w:bCs/>
                <w:color w:val="00B050"/>
                <w:sz w:val="72"/>
                <w:szCs w:val="72"/>
              </w:rPr>
            </w:pPr>
            <w:r w:rsidRPr="0058303D">
              <w:rPr>
                <w:rFonts w:ascii="Wingdings 2" w:hAnsi="Wingdings 2"/>
                <w:b/>
                <w:bCs/>
                <w:color w:val="00B050"/>
                <w:sz w:val="72"/>
                <w:szCs w:val="72"/>
              </w:rPr>
              <w:t>P</w:t>
            </w:r>
          </w:p>
        </w:tc>
        <w:tc>
          <w:tcPr>
            <w:tcW w:w="6237" w:type="dxa"/>
            <w:tcBorders>
              <w:top w:val="nil"/>
              <w:left w:val="single" w:sz="18" w:space="0" w:color="FFFFFF"/>
              <w:bottom w:val="single" w:sz="18" w:space="0" w:color="FFFFFF"/>
            </w:tcBorders>
            <w:shd w:val="clear" w:color="auto" w:fill="DAE9F7" w:themeFill="text2" w:themeFillTint="1A"/>
          </w:tcPr>
          <w:p w14:paraId="21B17EF8" w14:textId="77777777" w:rsidR="002D1673" w:rsidRDefault="002D1673" w:rsidP="00F70258">
            <w:pPr>
              <w:spacing w:before="120" w:after="0" w:line="240" w:lineRule="auto"/>
              <w:ind w:left="142"/>
              <w:rPr>
                <w:sz w:val="22"/>
                <w:szCs w:val="22"/>
              </w:rPr>
            </w:pPr>
            <w:r w:rsidRPr="00470CA4">
              <w:rPr>
                <w:sz w:val="22"/>
                <w:szCs w:val="22"/>
              </w:rPr>
              <w:t xml:space="preserve">See Target Market </w:t>
            </w:r>
            <w:r w:rsidR="00A67020">
              <w:rPr>
                <w:sz w:val="22"/>
                <w:szCs w:val="22"/>
              </w:rPr>
              <w:t>Information documents:</w:t>
            </w:r>
          </w:p>
          <w:p w14:paraId="5BC0141F" w14:textId="30A57ADA" w:rsidR="00B2582C" w:rsidRPr="00DB4199" w:rsidRDefault="00DB4199" w:rsidP="00DF5BD7">
            <w:pPr>
              <w:pStyle w:val="ListParagraph"/>
              <w:numPr>
                <w:ilvl w:val="0"/>
                <w:numId w:val="31"/>
              </w:numPr>
              <w:spacing w:before="120" w:after="0" w:line="240" w:lineRule="auto"/>
              <w:ind w:left="405" w:hanging="284"/>
              <w:rPr>
                <w:rStyle w:val="Hyperlink"/>
                <w:sz w:val="22"/>
                <w:szCs w:val="22"/>
              </w:rPr>
            </w:pPr>
            <w:r>
              <w:rPr>
                <w:sz w:val="22"/>
                <w:szCs w:val="22"/>
              </w:rPr>
              <w:fldChar w:fldCharType="begin"/>
            </w:r>
            <w:r>
              <w:rPr>
                <w:sz w:val="22"/>
                <w:szCs w:val="22"/>
              </w:rPr>
              <w:instrText>HYPERLINK "https://nationalfriendly.co.uk/media/433aqbl4/icp-target-market-information.pdf"</w:instrText>
            </w:r>
            <w:r>
              <w:rPr>
                <w:sz w:val="22"/>
                <w:szCs w:val="22"/>
              </w:rPr>
            </w:r>
            <w:r>
              <w:rPr>
                <w:sz w:val="22"/>
                <w:szCs w:val="22"/>
              </w:rPr>
              <w:fldChar w:fldCharType="separate"/>
            </w:r>
            <w:r w:rsidR="005779B5" w:rsidRPr="00DB4199">
              <w:rPr>
                <w:rStyle w:val="Hyperlink"/>
                <w:sz w:val="22"/>
                <w:szCs w:val="22"/>
              </w:rPr>
              <w:t>Immediate Care Plan</w:t>
            </w:r>
          </w:p>
          <w:p w14:paraId="5A7A496C" w14:textId="29E4D455" w:rsidR="00CC2284" w:rsidRPr="002017F0" w:rsidRDefault="00DB4199" w:rsidP="00DF5BD7">
            <w:pPr>
              <w:pStyle w:val="ListParagraph"/>
              <w:numPr>
                <w:ilvl w:val="0"/>
                <w:numId w:val="31"/>
              </w:numPr>
              <w:spacing w:before="120" w:after="0" w:line="240" w:lineRule="auto"/>
              <w:ind w:left="405" w:hanging="284"/>
              <w:rPr>
                <w:sz w:val="22"/>
                <w:szCs w:val="22"/>
              </w:rPr>
            </w:pPr>
            <w:r>
              <w:rPr>
                <w:sz w:val="22"/>
                <w:szCs w:val="22"/>
              </w:rPr>
              <w:fldChar w:fldCharType="end"/>
            </w:r>
            <w:hyperlink r:id="rId13" w:history="1">
              <w:r w:rsidR="00B2582C" w:rsidRPr="00B2582C">
                <w:rPr>
                  <w:rStyle w:val="Hyperlink"/>
                  <w:sz w:val="22"/>
                  <w:szCs w:val="22"/>
                </w:rPr>
                <w:t>Deferred Care Plan</w:t>
              </w:r>
            </w:hyperlink>
          </w:p>
        </w:tc>
      </w:tr>
      <w:tr w:rsidR="002D1673" w14:paraId="40518D7A" w14:textId="77777777" w:rsidTr="006136BF">
        <w:trPr>
          <w:trHeight w:val="1428"/>
        </w:trPr>
        <w:tc>
          <w:tcPr>
            <w:tcW w:w="3109" w:type="dxa"/>
            <w:tcBorders>
              <w:top w:val="single" w:sz="18" w:space="0" w:color="FFFFFF"/>
              <w:right w:val="single" w:sz="18" w:space="0" w:color="FFFFFF"/>
            </w:tcBorders>
            <w:shd w:val="clear" w:color="auto" w:fill="DAE9F7" w:themeFill="text2" w:themeFillTint="1A"/>
          </w:tcPr>
          <w:p w14:paraId="5EFCCABC" w14:textId="64A6AA2D" w:rsidR="002D1673" w:rsidRPr="004E114A" w:rsidRDefault="002D1673" w:rsidP="0001148E">
            <w:pPr>
              <w:pStyle w:val="TableParagraph"/>
              <w:numPr>
                <w:ilvl w:val="0"/>
                <w:numId w:val="19"/>
              </w:numPr>
              <w:spacing w:before="63" w:line="228" w:lineRule="auto"/>
              <w:ind w:left="426" w:hanging="283"/>
              <w:rPr>
                <w:rFonts w:asciiTheme="minorHAnsi" w:hAnsiTheme="minorHAnsi"/>
              </w:rPr>
            </w:pPr>
            <w:r w:rsidRPr="004E114A">
              <w:rPr>
                <w:rFonts w:asciiTheme="minorHAnsi" w:hAnsiTheme="minorHAnsi"/>
              </w:rPr>
              <w:t>Regularly</w:t>
            </w:r>
            <w:r w:rsidRPr="0001148E">
              <w:rPr>
                <w:rFonts w:asciiTheme="minorHAnsi" w:hAnsiTheme="minorHAnsi"/>
              </w:rPr>
              <w:t xml:space="preserve"> </w:t>
            </w:r>
            <w:r w:rsidRPr="004E114A">
              <w:rPr>
                <w:rFonts w:asciiTheme="minorHAnsi" w:hAnsiTheme="minorHAnsi"/>
              </w:rPr>
              <w:t>sought</w:t>
            </w:r>
            <w:r w:rsidRPr="0001148E">
              <w:rPr>
                <w:rFonts w:asciiTheme="minorHAnsi" w:hAnsiTheme="minorHAnsi"/>
              </w:rPr>
              <w:t xml:space="preserve"> feedback from our distribution chain and customers.</w:t>
            </w:r>
          </w:p>
        </w:tc>
        <w:tc>
          <w:tcPr>
            <w:tcW w:w="850" w:type="dxa"/>
            <w:tcBorders>
              <w:top w:val="single" w:sz="18" w:space="0" w:color="FFFFFF"/>
              <w:left w:val="single" w:sz="18" w:space="0" w:color="FFFFFF"/>
              <w:right w:val="single" w:sz="18" w:space="0" w:color="FFFFFF"/>
            </w:tcBorders>
            <w:shd w:val="clear" w:color="auto" w:fill="DAE9F7" w:themeFill="text2" w:themeFillTint="1A"/>
          </w:tcPr>
          <w:p w14:paraId="48AEBD74" w14:textId="77777777" w:rsidR="002D1673" w:rsidRPr="0058303D" w:rsidRDefault="002D1673" w:rsidP="0047441C">
            <w:pPr>
              <w:pStyle w:val="TableParagraph"/>
              <w:spacing w:before="20" w:after="1"/>
              <w:ind w:left="0"/>
              <w:jc w:val="center"/>
              <w:rPr>
                <w:rFonts w:ascii="Wingdings 2" w:hAnsi="Wingdings 2"/>
                <w:b/>
                <w:bCs/>
                <w:color w:val="00B050"/>
                <w:sz w:val="72"/>
                <w:szCs w:val="72"/>
              </w:rPr>
            </w:pPr>
            <w:r w:rsidRPr="0058303D">
              <w:rPr>
                <w:rFonts w:ascii="Wingdings 2" w:hAnsi="Wingdings 2"/>
                <w:b/>
                <w:bCs/>
                <w:color w:val="00B050"/>
                <w:sz w:val="72"/>
                <w:szCs w:val="72"/>
              </w:rPr>
              <w:t>P</w:t>
            </w:r>
          </w:p>
          <w:p w14:paraId="22FA8776" w14:textId="77777777" w:rsidR="002D1673" w:rsidRDefault="002D1673" w:rsidP="0047441C">
            <w:pPr>
              <w:pStyle w:val="TableParagraph"/>
              <w:ind w:left="1888"/>
              <w:jc w:val="center"/>
              <w:rPr>
                <w:rFonts w:ascii="Arial Black"/>
                <w:sz w:val="20"/>
              </w:rPr>
            </w:pPr>
          </w:p>
        </w:tc>
        <w:tc>
          <w:tcPr>
            <w:tcW w:w="6237" w:type="dxa"/>
            <w:tcBorders>
              <w:top w:val="single" w:sz="18" w:space="0" w:color="FFFFFF"/>
              <w:left w:val="single" w:sz="18" w:space="0" w:color="FFFFFF"/>
            </w:tcBorders>
            <w:shd w:val="clear" w:color="auto" w:fill="DAE9F7" w:themeFill="text2" w:themeFillTint="1A"/>
          </w:tcPr>
          <w:p w14:paraId="002B7956" w14:textId="77777777" w:rsidR="002D1673" w:rsidRPr="00470CA4" w:rsidRDefault="002D1673" w:rsidP="00470CA4">
            <w:pPr>
              <w:spacing w:before="120" w:after="0" w:line="240" w:lineRule="auto"/>
              <w:ind w:left="142"/>
              <w:rPr>
                <w:sz w:val="22"/>
                <w:szCs w:val="22"/>
              </w:rPr>
            </w:pPr>
            <w:r w:rsidRPr="00470CA4">
              <w:rPr>
                <w:sz w:val="22"/>
                <w:szCs w:val="22"/>
              </w:rPr>
              <w:t>Through on-going communications between our Business Development Managers and the distribution chain.</w:t>
            </w:r>
          </w:p>
          <w:p w14:paraId="1EDA85F3" w14:textId="77777777" w:rsidR="002D1673" w:rsidRPr="00470CA4" w:rsidRDefault="002D1673" w:rsidP="007E7A42">
            <w:pPr>
              <w:pStyle w:val="TableParagraph"/>
              <w:spacing w:before="148"/>
              <w:rPr>
                <w:rFonts w:asciiTheme="minorHAnsi" w:eastAsiaTheme="minorHAnsi" w:hAnsiTheme="minorHAnsi" w:cstheme="minorBidi"/>
                <w:kern w:val="2"/>
                <w:lang w:val="en-GB"/>
                <w14:ligatures w14:val="standardContextual"/>
              </w:rPr>
            </w:pPr>
            <w:r w:rsidRPr="00470CA4">
              <w:rPr>
                <w:rFonts w:asciiTheme="minorHAnsi" w:eastAsiaTheme="minorHAnsi" w:hAnsiTheme="minorHAnsi" w:cstheme="minorBidi"/>
                <w:kern w:val="2"/>
                <w:lang w:val="en-GB"/>
                <w14:ligatures w14:val="standardContextual"/>
              </w:rPr>
              <w:t>Via our online and telephone-based customer feedback tools and the online review portals.</w:t>
            </w:r>
          </w:p>
        </w:tc>
      </w:tr>
      <w:tr w:rsidR="002D1673" w14:paraId="6AB1A7E8" w14:textId="77777777" w:rsidTr="006136BF">
        <w:trPr>
          <w:trHeight w:val="1374"/>
        </w:trPr>
        <w:tc>
          <w:tcPr>
            <w:tcW w:w="3109" w:type="dxa"/>
            <w:tcBorders>
              <w:right w:val="single" w:sz="18" w:space="0" w:color="FFFFFF"/>
            </w:tcBorders>
            <w:shd w:val="clear" w:color="auto" w:fill="DAE9F7" w:themeFill="text2" w:themeFillTint="1A"/>
          </w:tcPr>
          <w:p w14:paraId="13AD4D27" w14:textId="4E7D4C9F" w:rsidR="002D1673" w:rsidRPr="004E114A" w:rsidRDefault="002D1673" w:rsidP="0001148E">
            <w:pPr>
              <w:pStyle w:val="TableParagraph"/>
              <w:numPr>
                <w:ilvl w:val="0"/>
                <w:numId w:val="19"/>
              </w:numPr>
              <w:spacing w:before="63" w:line="228" w:lineRule="auto"/>
              <w:ind w:left="426" w:hanging="283"/>
              <w:rPr>
                <w:rFonts w:asciiTheme="minorHAnsi" w:hAnsiTheme="minorHAnsi"/>
              </w:rPr>
            </w:pPr>
            <w:r w:rsidRPr="004E114A">
              <w:rPr>
                <w:rFonts w:asciiTheme="minorHAnsi" w:hAnsiTheme="minorHAnsi"/>
              </w:rPr>
              <w:t xml:space="preserve">Regularly monitored and reviewed the </w:t>
            </w:r>
            <w:r w:rsidRPr="0001148E">
              <w:rPr>
                <w:rFonts w:asciiTheme="minorHAnsi" w:hAnsiTheme="minorHAnsi"/>
              </w:rPr>
              <w:t>product</w:t>
            </w:r>
          </w:p>
        </w:tc>
        <w:tc>
          <w:tcPr>
            <w:tcW w:w="850" w:type="dxa"/>
            <w:tcBorders>
              <w:left w:val="single" w:sz="18" w:space="0" w:color="FFFFFF"/>
              <w:right w:val="single" w:sz="18" w:space="0" w:color="FFFFFF"/>
            </w:tcBorders>
            <w:shd w:val="clear" w:color="auto" w:fill="DAE9F7" w:themeFill="text2" w:themeFillTint="1A"/>
          </w:tcPr>
          <w:p w14:paraId="2017BF03" w14:textId="77777777" w:rsidR="002D1673" w:rsidRPr="0058303D" w:rsidRDefault="002D1673" w:rsidP="0047441C">
            <w:pPr>
              <w:pStyle w:val="TableParagraph"/>
              <w:spacing w:before="20" w:after="1"/>
              <w:ind w:left="0"/>
              <w:jc w:val="center"/>
              <w:rPr>
                <w:rFonts w:ascii="Wingdings 2" w:hAnsi="Wingdings 2"/>
                <w:b/>
                <w:bCs/>
                <w:color w:val="00B050"/>
                <w:sz w:val="72"/>
                <w:szCs w:val="72"/>
              </w:rPr>
            </w:pPr>
            <w:r w:rsidRPr="0058303D">
              <w:rPr>
                <w:rFonts w:ascii="Wingdings 2" w:hAnsi="Wingdings 2"/>
                <w:b/>
                <w:bCs/>
                <w:color w:val="00B050"/>
                <w:sz w:val="72"/>
                <w:szCs w:val="72"/>
              </w:rPr>
              <w:t>P</w:t>
            </w:r>
          </w:p>
          <w:p w14:paraId="08660B84" w14:textId="1634841A" w:rsidR="002D1673" w:rsidRDefault="002D1673" w:rsidP="0047441C">
            <w:pPr>
              <w:pStyle w:val="TableParagraph"/>
              <w:ind w:left="1888"/>
              <w:jc w:val="center"/>
              <w:rPr>
                <w:rFonts w:ascii="Arial Black"/>
                <w:sz w:val="20"/>
              </w:rPr>
            </w:pPr>
          </w:p>
        </w:tc>
        <w:tc>
          <w:tcPr>
            <w:tcW w:w="6237" w:type="dxa"/>
            <w:tcBorders>
              <w:left w:val="single" w:sz="18" w:space="0" w:color="FFFFFF"/>
            </w:tcBorders>
            <w:shd w:val="clear" w:color="auto" w:fill="DAE9F7" w:themeFill="text2" w:themeFillTint="1A"/>
          </w:tcPr>
          <w:p w14:paraId="4DD475A2" w14:textId="67AE95F3" w:rsidR="002D1673" w:rsidRPr="00470CA4" w:rsidRDefault="002D1673" w:rsidP="00470CA4">
            <w:pPr>
              <w:spacing w:before="120" w:after="0" w:line="240" w:lineRule="auto"/>
              <w:ind w:left="142"/>
              <w:rPr>
                <w:sz w:val="20"/>
              </w:rPr>
            </w:pPr>
            <w:r w:rsidRPr="00470CA4">
              <w:rPr>
                <w:sz w:val="22"/>
                <w:szCs w:val="22"/>
              </w:rPr>
              <w:t xml:space="preserve">Products are regularly reviewed in line with our product governance policy and framework. All products are required to be reviewed at least annually; with all reviews </w:t>
            </w:r>
            <w:r w:rsidR="008A120E">
              <w:rPr>
                <w:sz w:val="22"/>
                <w:szCs w:val="22"/>
              </w:rPr>
              <w:t>oversighted</w:t>
            </w:r>
            <w:r w:rsidRPr="00470CA4">
              <w:rPr>
                <w:sz w:val="22"/>
                <w:szCs w:val="22"/>
              </w:rPr>
              <w:t xml:space="preserve"> by our Pricing, Underwriting and Product Working Group.</w:t>
            </w:r>
          </w:p>
        </w:tc>
      </w:tr>
      <w:tr w:rsidR="00D72420" w14:paraId="72F961B0" w14:textId="77777777" w:rsidTr="006136BF">
        <w:trPr>
          <w:trHeight w:val="1782"/>
        </w:trPr>
        <w:tc>
          <w:tcPr>
            <w:tcW w:w="3109" w:type="dxa"/>
            <w:tcBorders>
              <w:right w:val="single" w:sz="18" w:space="0" w:color="FFFFFF"/>
            </w:tcBorders>
            <w:shd w:val="clear" w:color="auto" w:fill="DAE9F7" w:themeFill="text2" w:themeFillTint="1A"/>
          </w:tcPr>
          <w:p w14:paraId="188F82C6" w14:textId="12F8B948" w:rsidR="00321E09" w:rsidRPr="004E114A" w:rsidRDefault="00321E09" w:rsidP="004018BA">
            <w:pPr>
              <w:pStyle w:val="TableParagraph"/>
              <w:numPr>
                <w:ilvl w:val="0"/>
                <w:numId w:val="19"/>
              </w:numPr>
              <w:spacing w:before="63" w:line="228" w:lineRule="auto"/>
              <w:ind w:left="426" w:hanging="283"/>
              <w:rPr>
                <w:rFonts w:asciiTheme="minorHAnsi" w:hAnsiTheme="minorHAnsi"/>
              </w:rPr>
            </w:pPr>
            <w:r w:rsidRPr="00F70258">
              <w:rPr>
                <w:rFonts w:asciiTheme="minorHAnsi" w:hAnsiTheme="minorHAnsi"/>
              </w:rPr>
              <w:t>Where there has</w:t>
            </w:r>
            <w:r w:rsidR="00207655" w:rsidRPr="00F70258">
              <w:rPr>
                <w:rFonts w:asciiTheme="minorHAnsi" w:hAnsiTheme="minorHAnsi"/>
              </w:rPr>
              <w:t xml:space="preserve"> </w:t>
            </w:r>
            <w:r w:rsidRPr="00F70258">
              <w:rPr>
                <w:rFonts w:asciiTheme="minorHAnsi" w:hAnsiTheme="minorHAnsi"/>
              </w:rPr>
              <w:t>been a significant change or amendment to the product, we have put the amended product back through the full PROD4 assessment</w:t>
            </w:r>
          </w:p>
        </w:tc>
        <w:tc>
          <w:tcPr>
            <w:tcW w:w="850" w:type="dxa"/>
            <w:tcBorders>
              <w:left w:val="single" w:sz="18" w:space="0" w:color="FFFFFF"/>
              <w:right w:val="single" w:sz="18" w:space="0" w:color="FFFFFF"/>
            </w:tcBorders>
            <w:shd w:val="clear" w:color="auto" w:fill="DAE9F7" w:themeFill="text2" w:themeFillTint="1A"/>
          </w:tcPr>
          <w:p w14:paraId="3940EE23" w14:textId="77777777" w:rsidR="00973760" w:rsidRPr="0058303D" w:rsidRDefault="00973760" w:rsidP="0047441C">
            <w:pPr>
              <w:pStyle w:val="TableParagraph"/>
              <w:spacing w:before="20" w:after="1"/>
              <w:ind w:left="0"/>
              <w:jc w:val="center"/>
              <w:rPr>
                <w:rFonts w:ascii="Wingdings 2" w:hAnsi="Wingdings 2"/>
                <w:b/>
                <w:bCs/>
                <w:color w:val="00B050"/>
                <w:sz w:val="72"/>
                <w:szCs w:val="72"/>
              </w:rPr>
            </w:pPr>
            <w:r w:rsidRPr="0058303D">
              <w:rPr>
                <w:rFonts w:ascii="Wingdings 2" w:hAnsi="Wingdings 2"/>
                <w:b/>
                <w:bCs/>
                <w:color w:val="00B050"/>
                <w:sz w:val="72"/>
                <w:szCs w:val="72"/>
              </w:rPr>
              <w:t>P</w:t>
            </w:r>
          </w:p>
          <w:p w14:paraId="002D5AD5" w14:textId="77777777" w:rsidR="00321E09" w:rsidRDefault="00321E09" w:rsidP="0047441C">
            <w:pPr>
              <w:pStyle w:val="TableParagraph"/>
              <w:spacing w:before="151"/>
              <w:ind w:left="0"/>
              <w:jc w:val="center"/>
              <w:rPr>
                <w:rFonts w:ascii="Arial Black"/>
                <w:sz w:val="20"/>
              </w:rPr>
            </w:pPr>
          </w:p>
          <w:p w14:paraId="6702531A" w14:textId="201DFB5D" w:rsidR="00321E09" w:rsidRDefault="00321E09" w:rsidP="0047441C">
            <w:pPr>
              <w:pStyle w:val="TableParagraph"/>
              <w:ind w:left="1888"/>
              <w:jc w:val="center"/>
              <w:rPr>
                <w:rFonts w:ascii="Arial Black"/>
                <w:sz w:val="20"/>
              </w:rPr>
            </w:pPr>
          </w:p>
        </w:tc>
        <w:tc>
          <w:tcPr>
            <w:tcW w:w="6237" w:type="dxa"/>
            <w:tcBorders>
              <w:left w:val="single" w:sz="18" w:space="0" w:color="FFFFFF"/>
            </w:tcBorders>
            <w:shd w:val="clear" w:color="auto" w:fill="DAE9F7" w:themeFill="text2" w:themeFillTint="1A"/>
          </w:tcPr>
          <w:p w14:paraId="344916B8" w14:textId="77777777" w:rsidR="00321E09" w:rsidRPr="00470CA4" w:rsidRDefault="00321E09" w:rsidP="00470CA4">
            <w:pPr>
              <w:spacing w:before="120" w:after="0" w:line="240" w:lineRule="auto"/>
              <w:ind w:left="142"/>
              <w:rPr>
                <w:sz w:val="20"/>
              </w:rPr>
            </w:pPr>
            <w:r w:rsidRPr="00470CA4">
              <w:rPr>
                <w:sz w:val="22"/>
                <w:szCs w:val="22"/>
              </w:rPr>
              <w:t>This requirement is outlined in our product governance policy and framework which is adhered to on all occasions.</w:t>
            </w:r>
          </w:p>
        </w:tc>
      </w:tr>
      <w:tr w:rsidR="00D72420" w:rsidRPr="00910DBA" w14:paraId="494F3F8A" w14:textId="77777777" w:rsidTr="006136BF">
        <w:trPr>
          <w:trHeight w:val="1896"/>
        </w:trPr>
        <w:tc>
          <w:tcPr>
            <w:tcW w:w="3109" w:type="dxa"/>
            <w:tcBorders>
              <w:right w:val="single" w:sz="18" w:space="0" w:color="FFFFFF"/>
            </w:tcBorders>
            <w:shd w:val="clear" w:color="auto" w:fill="DAE9F7" w:themeFill="text2" w:themeFillTint="1A"/>
          </w:tcPr>
          <w:p w14:paraId="11FBE08D" w14:textId="3A14CEB1" w:rsidR="00321E09" w:rsidRPr="004E114A" w:rsidRDefault="00321E09" w:rsidP="00F70258">
            <w:pPr>
              <w:pStyle w:val="TableParagraph"/>
              <w:numPr>
                <w:ilvl w:val="0"/>
                <w:numId w:val="19"/>
              </w:numPr>
              <w:spacing w:before="63" w:line="228" w:lineRule="auto"/>
              <w:ind w:left="426" w:hanging="283"/>
              <w:rPr>
                <w:rFonts w:asciiTheme="minorHAnsi" w:hAnsiTheme="minorHAnsi"/>
              </w:rPr>
            </w:pPr>
            <w:r w:rsidRPr="004E114A">
              <w:rPr>
                <w:rFonts w:asciiTheme="minorHAnsi" w:hAnsiTheme="minorHAnsi"/>
              </w:rPr>
              <w:t>Considered</w:t>
            </w:r>
            <w:r w:rsidRPr="00F70258">
              <w:rPr>
                <w:rFonts w:asciiTheme="minorHAnsi" w:hAnsiTheme="minorHAnsi"/>
              </w:rPr>
              <w:t xml:space="preserve"> </w:t>
            </w:r>
            <w:r w:rsidRPr="004E114A">
              <w:rPr>
                <w:rFonts w:asciiTheme="minorHAnsi" w:hAnsiTheme="minorHAnsi"/>
              </w:rPr>
              <w:t>the</w:t>
            </w:r>
            <w:r w:rsidRPr="00F70258">
              <w:rPr>
                <w:rFonts w:asciiTheme="minorHAnsi" w:hAnsiTheme="minorHAnsi"/>
              </w:rPr>
              <w:t xml:space="preserve"> </w:t>
            </w:r>
            <w:r w:rsidRPr="004E114A">
              <w:rPr>
                <w:rFonts w:asciiTheme="minorHAnsi" w:hAnsiTheme="minorHAnsi"/>
              </w:rPr>
              <w:t>charging</w:t>
            </w:r>
            <w:r w:rsidRPr="00F70258">
              <w:rPr>
                <w:rFonts w:asciiTheme="minorHAnsi" w:hAnsiTheme="minorHAnsi"/>
              </w:rPr>
              <w:t xml:space="preserve"> </w:t>
            </w:r>
            <w:r w:rsidRPr="004E114A">
              <w:rPr>
                <w:rFonts w:asciiTheme="minorHAnsi" w:hAnsiTheme="minorHAnsi"/>
              </w:rPr>
              <w:t>and</w:t>
            </w:r>
            <w:r w:rsidRPr="00F70258">
              <w:rPr>
                <w:rFonts w:asciiTheme="minorHAnsi" w:hAnsiTheme="minorHAnsi"/>
              </w:rPr>
              <w:t xml:space="preserve"> fee</w:t>
            </w:r>
            <w:r w:rsidR="00F44F1A">
              <w:rPr>
                <w:rFonts w:asciiTheme="minorHAnsi" w:hAnsiTheme="minorHAnsi"/>
              </w:rPr>
              <w:t xml:space="preserve"> </w:t>
            </w:r>
            <w:r w:rsidRPr="004E114A">
              <w:rPr>
                <w:rFonts w:asciiTheme="minorHAnsi" w:hAnsiTheme="minorHAnsi"/>
              </w:rPr>
              <w:t>structure</w:t>
            </w:r>
            <w:r w:rsidRPr="00F70258">
              <w:rPr>
                <w:rFonts w:asciiTheme="minorHAnsi" w:hAnsiTheme="minorHAnsi"/>
              </w:rPr>
              <w:t xml:space="preserve"> </w:t>
            </w:r>
            <w:r w:rsidRPr="004E114A">
              <w:rPr>
                <w:rFonts w:asciiTheme="minorHAnsi" w:hAnsiTheme="minorHAnsi"/>
              </w:rPr>
              <w:t>for</w:t>
            </w:r>
            <w:r w:rsidRPr="00F70258">
              <w:rPr>
                <w:rFonts w:asciiTheme="minorHAnsi" w:hAnsiTheme="minorHAnsi"/>
              </w:rPr>
              <w:t xml:space="preserve"> </w:t>
            </w:r>
            <w:r w:rsidRPr="004E114A">
              <w:rPr>
                <w:rFonts w:asciiTheme="minorHAnsi" w:hAnsiTheme="minorHAnsi"/>
              </w:rPr>
              <w:t>the</w:t>
            </w:r>
            <w:r w:rsidRPr="00F70258">
              <w:rPr>
                <w:rFonts w:asciiTheme="minorHAnsi" w:hAnsiTheme="minorHAnsi"/>
              </w:rPr>
              <w:t xml:space="preserve"> product</w:t>
            </w:r>
          </w:p>
        </w:tc>
        <w:tc>
          <w:tcPr>
            <w:tcW w:w="850" w:type="dxa"/>
            <w:tcBorders>
              <w:left w:val="single" w:sz="18" w:space="0" w:color="FFFFFF"/>
              <w:bottom w:val="nil"/>
              <w:right w:val="single" w:sz="18" w:space="0" w:color="FFFFFF"/>
            </w:tcBorders>
            <w:shd w:val="clear" w:color="auto" w:fill="DAE9F7" w:themeFill="text2" w:themeFillTint="1A"/>
          </w:tcPr>
          <w:p w14:paraId="06E2306E" w14:textId="77777777" w:rsidR="00321E09" w:rsidRDefault="00321E09" w:rsidP="0047441C">
            <w:pPr>
              <w:pStyle w:val="TableParagraph"/>
              <w:spacing w:before="13"/>
              <w:ind w:left="0"/>
              <w:jc w:val="center"/>
              <w:rPr>
                <w:rFonts w:ascii="Arial Black"/>
                <w:sz w:val="9"/>
              </w:rPr>
            </w:pPr>
          </w:p>
          <w:p w14:paraId="1337577A" w14:textId="77777777" w:rsidR="00973760" w:rsidRPr="0058303D" w:rsidRDefault="00973760" w:rsidP="0047441C">
            <w:pPr>
              <w:pStyle w:val="TableParagraph"/>
              <w:spacing w:before="20" w:after="1"/>
              <w:ind w:left="0"/>
              <w:jc w:val="center"/>
              <w:rPr>
                <w:rFonts w:ascii="Wingdings 2" w:hAnsi="Wingdings 2"/>
                <w:b/>
                <w:bCs/>
                <w:color w:val="00B050"/>
                <w:sz w:val="72"/>
                <w:szCs w:val="72"/>
              </w:rPr>
            </w:pPr>
            <w:r w:rsidRPr="0058303D">
              <w:rPr>
                <w:rFonts w:ascii="Wingdings 2" w:hAnsi="Wingdings 2"/>
                <w:b/>
                <w:bCs/>
                <w:color w:val="00B050"/>
                <w:sz w:val="72"/>
                <w:szCs w:val="72"/>
              </w:rPr>
              <w:t>P</w:t>
            </w:r>
          </w:p>
          <w:p w14:paraId="2E68B012" w14:textId="77777777" w:rsidR="00321E09" w:rsidRDefault="00321E09" w:rsidP="0047441C">
            <w:pPr>
              <w:pStyle w:val="TableParagraph"/>
              <w:ind w:left="1888"/>
              <w:jc w:val="center"/>
              <w:rPr>
                <w:rFonts w:ascii="Arial Black"/>
                <w:sz w:val="20"/>
              </w:rPr>
            </w:pPr>
          </w:p>
        </w:tc>
        <w:tc>
          <w:tcPr>
            <w:tcW w:w="6237" w:type="dxa"/>
            <w:tcBorders>
              <w:left w:val="single" w:sz="18" w:space="0" w:color="FFFFFF"/>
            </w:tcBorders>
            <w:shd w:val="clear" w:color="auto" w:fill="DAE9F7" w:themeFill="text2" w:themeFillTint="1A"/>
          </w:tcPr>
          <w:p w14:paraId="013780A7" w14:textId="0C7E8C8C" w:rsidR="00321E09" w:rsidRPr="00470CA4" w:rsidRDefault="009605DB" w:rsidP="00BD6E7A">
            <w:pPr>
              <w:spacing w:before="120" w:after="0" w:line="240" w:lineRule="auto"/>
              <w:ind w:left="142"/>
              <w:rPr>
                <w:sz w:val="20"/>
                <w:highlight w:val="yellow"/>
              </w:rPr>
            </w:pPr>
            <w:r>
              <w:rPr>
                <w:sz w:val="22"/>
                <w:szCs w:val="22"/>
              </w:rPr>
              <w:t xml:space="preserve">Our pricing is based on </w:t>
            </w:r>
            <w:proofErr w:type="gramStart"/>
            <w:r>
              <w:rPr>
                <w:sz w:val="22"/>
                <w:szCs w:val="22"/>
              </w:rPr>
              <w:t>a number of</w:t>
            </w:r>
            <w:proofErr w:type="gramEnd"/>
            <w:r>
              <w:rPr>
                <w:sz w:val="22"/>
                <w:szCs w:val="22"/>
              </w:rPr>
              <w:t xml:space="preserve"> factors which form</w:t>
            </w:r>
            <w:r w:rsidR="00F92E6B">
              <w:rPr>
                <w:sz w:val="22"/>
                <w:szCs w:val="22"/>
              </w:rPr>
              <w:t xml:space="preserve">ulate the overall price to customers; with differing weightings placed on each factor: </w:t>
            </w:r>
            <w:r w:rsidR="000D1E26">
              <w:rPr>
                <w:sz w:val="22"/>
                <w:szCs w:val="22"/>
              </w:rPr>
              <w:t xml:space="preserve">administrator and claim costs, distribution costs, </w:t>
            </w:r>
            <w:r w:rsidR="005233A8">
              <w:rPr>
                <w:sz w:val="22"/>
                <w:szCs w:val="22"/>
              </w:rPr>
              <w:t xml:space="preserve">regulatory costs, </w:t>
            </w:r>
            <w:r w:rsidR="000D1E26">
              <w:rPr>
                <w:sz w:val="22"/>
                <w:szCs w:val="22"/>
              </w:rPr>
              <w:t>fixed costs and overheads</w:t>
            </w:r>
            <w:r w:rsidR="000734A2">
              <w:rPr>
                <w:sz w:val="22"/>
                <w:szCs w:val="22"/>
              </w:rPr>
              <w:t xml:space="preserve">, and a small profitability factor sufficient to maintain the Society’s </w:t>
            </w:r>
            <w:r w:rsidR="005233A8">
              <w:rPr>
                <w:sz w:val="22"/>
                <w:szCs w:val="22"/>
              </w:rPr>
              <w:t>capital and solvency requirements.</w:t>
            </w:r>
          </w:p>
        </w:tc>
      </w:tr>
    </w:tbl>
    <w:p w14:paraId="5B161634" w14:textId="4C2BB7B0" w:rsidR="00254558" w:rsidRDefault="00254558">
      <w:r>
        <w:br w:type="page"/>
      </w:r>
    </w:p>
    <w:p w14:paraId="14921C3C" w14:textId="77777777" w:rsidR="00443DB5" w:rsidRPr="00661CDB" w:rsidRDefault="00DA5A9E" w:rsidP="00443DB5">
      <w:pPr>
        <w:spacing w:after="0"/>
        <w:rPr>
          <w:b/>
          <w:bCs/>
          <w:color w:val="F26531"/>
          <w:sz w:val="40"/>
          <w:szCs w:val="40"/>
        </w:rPr>
      </w:pPr>
      <w:r w:rsidRPr="00661CDB">
        <w:rPr>
          <w:b/>
          <w:bCs/>
          <w:color w:val="F26531"/>
          <w:sz w:val="40"/>
          <w:szCs w:val="40"/>
        </w:rPr>
        <w:lastRenderedPageBreak/>
        <w:t>Immediate Care Plan</w:t>
      </w:r>
      <w:r w:rsidR="002070F4" w:rsidRPr="00661CDB">
        <w:rPr>
          <w:b/>
          <w:bCs/>
          <w:color w:val="F26531"/>
          <w:sz w:val="40"/>
          <w:szCs w:val="40"/>
        </w:rPr>
        <w:t xml:space="preserve"> &amp; Deferred Care Plan</w:t>
      </w:r>
    </w:p>
    <w:p w14:paraId="072A7B9D" w14:textId="4451F3E7" w:rsidR="000B6C3B" w:rsidRPr="00661CDB" w:rsidRDefault="002371A8" w:rsidP="002371A8">
      <w:pPr>
        <w:rPr>
          <w:b/>
          <w:bCs/>
          <w:color w:val="F26531"/>
          <w:sz w:val="40"/>
          <w:szCs w:val="40"/>
        </w:rPr>
      </w:pPr>
      <w:r w:rsidRPr="00661CDB">
        <w:rPr>
          <w:b/>
          <w:bCs/>
          <w:color w:val="F26531"/>
          <w:sz w:val="40"/>
          <w:szCs w:val="40"/>
        </w:rPr>
        <w:t xml:space="preserve">- </w:t>
      </w:r>
      <w:r w:rsidR="00FF40D1" w:rsidRPr="00661CDB">
        <w:rPr>
          <w:b/>
          <w:bCs/>
          <w:color w:val="F26531"/>
          <w:sz w:val="40"/>
          <w:szCs w:val="40"/>
        </w:rPr>
        <w:t>Fair Value Assessment 2024</w:t>
      </w:r>
    </w:p>
    <w:tbl>
      <w:tblPr>
        <w:tblStyle w:val="TableGrid"/>
        <w:tblW w:w="0" w:type="auto"/>
        <w:jc w:val="center"/>
        <w:tblLook w:val="04A0" w:firstRow="1" w:lastRow="0" w:firstColumn="1" w:lastColumn="0" w:noHBand="0" w:noVBand="1"/>
      </w:tblPr>
      <w:tblGrid>
        <w:gridCol w:w="2120"/>
        <w:gridCol w:w="7756"/>
      </w:tblGrid>
      <w:tr w:rsidR="00C014FE" w14:paraId="448A983B" w14:textId="77777777" w:rsidTr="00135BD0">
        <w:trPr>
          <w:trHeight w:val="608"/>
          <w:jc w:val="center"/>
        </w:trPr>
        <w:tc>
          <w:tcPr>
            <w:tcW w:w="9876"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6531"/>
            <w:vAlign w:val="center"/>
          </w:tcPr>
          <w:p w14:paraId="7369FFE3" w14:textId="024FCC3F" w:rsidR="00C014FE" w:rsidRPr="00E3332E" w:rsidRDefault="00D26FF5" w:rsidP="00062A4D">
            <w:pPr>
              <w:rPr>
                <w:rFonts w:ascii="Webdings" w:hAnsi="Webdings"/>
                <w:b/>
                <w:bCs/>
                <w:color w:val="FFFFFF" w:themeColor="background1"/>
                <w:sz w:val="28"/>
                <w:szCs w:val="28"/>
              </w:rPr>
            </w:pPr>
            <w:r w:rsidRPr="00C26D52">
              <w:rPr>
                <w:b/>
                <w:bCs/>
                <w:color w:val="FFFFFF" w:themeColor="background1"/>
                <w:sz w:val="28"/>
                <w:szCs w:val="28"/>
              </w:rPr>
              <w:t>Target Market</w:t>
            </w:r>
            <w:r w:rsidR="00F91E47" w:rsidRPr="008141B9">
              <w:rPr>
                <w:b/>
                <w:bCs/>
                <w:color w:val="FFFFFF" w:themeColor="background1"/>
                <w:sz w:val="28"/>
                <w:szCs w:val="28"/>
                <w14:textOutline w14:w="9525" w14:cap="rnd" w14:cmpd="sng" w14:algn="ctr">
                  <w14:solidFill>
                    <w14:srgbClr w14:val="000000"/>
                  </w14:solidFill>
                  <w14:prstDash w14:val="solid"/>
                  <w14:bevel/>
                </w14:textOutline>
              </w:rPr>
              <w:t xml:space="preserve"> </w:t>
            </w:r>
            <w:r w:rsidR="0083641B">
              <w:rPr>
                <w:b/>
                <w:bCs/>
                <w:color w:val="FFFFFF" w:themeColor="background1"/>
                <w:sz w:val="28"/>
                <w:szCs w:val="28"/>
                <w14:textOutline w14:w="9525" w14:cap="rnd" w14:cmpd="sng" w14:algn="ctr">
                  <w14:solidFill>
                    <w14:srgbClr w14:val="000000"/>
                  </w14:solidFill>
                  <w14:prstDash w14:val="solid"/>
                  <w14:bevel/>
                </w14:textOutline>
              </w:rPr>
              <w:t xml:space="preserve">                                                     </w:t>
            </w:r>
            <w:r w:rsidR="00062A4D">
              <w:rPr>
                <w:b/>
                <w:bCs/>
                <w:color w:val="FFFFFF" w:themeColor="background1"/>
                <w:sz w:val="28"/>
                <w:szCs w:val="28"/>
                <w14:textOutline w14:w="9525" w14:cap="rnd" w14:cmpd="sng" w14:algn="ctr">
                  <w14:solidFill>
                    <w14:srgbClr w14:val="000000"/>
                  </w14:solidFill>
                  <w14:prstDash w14:val="solid"/>
                  <w14:bevel/>
                </w14:textOutline>
              </w:rPr>
              <w:t xml:space="preserve">  </w:t>
            </w:r>
            <w:r w:rsidR="0083641B">
              <w:rPr>
                <w:b/>
                <w:bCs/>
                <w:color w:val="FFFFFF" w:themeColor="background1"/>
                <w:sz w:val="28"/>
                <w:szCs w:val="28"/>
                <w14:textOutline w14:w="9525" w14:cap="rnd" w14:cmpd="sng" w14:algn="ctr">
                  <w14:solidFill>
                    <w14:srgbClr w14:val="000000"/>
                  </w14:solidFill>
                  <w14:prstDash w14:val="solid"/>
                  <w14:bevel/>
                </w14:textOutline>
              </w:rPr>
              <w:t xml:space="preserve">                                                          </w:t>
            </w:r>
            <w:r w:rsidR="000D6CDC">
              <w:rPr>
                <w:b/>
                <w:bCs/>
                <w:color w:val="FFFFFF" w:themeColor="background1"/>
                <w:sz w:val="28"/>
                <w:szCs w:val="28"/>
                <w14:textOutline w14:w="9525" w14:cap="rnd" w14:cmpd="sng" w14:algn="ctr">
                  <w14:solidFill>
                    <w14:srgbClr w14:val="000000"/>
                  </w14:solidFill>
                  <w14:prstDash w14:val="solid"/>
                  <w14:bevel/>
                </w14:textOutline>
              </w:rPr>
              <w:t xml:space="preserve">    </w:t>
            </w:r>
            <w:r w:rsidR="0083641B">
              <w:rPr>
                <w:b/>
                <w:bCs/>
                <w:color w:val="FFFFFF" w:themeColor="background1"/>
                <w:sz w:val="28"/>
                <w:szCs w:val="28"/>
                <w14:textOutline w14:w="9525" w14:cap="rnd" w14:cmpd="sng" w14:algn="ctr">
                  <w14:solidFill>
                    <w14:srgbClr w14:val="000000"/>
                  </w14:solidFill>
                  <w14:prstDash w14:val="solid"/>
                  <w14:bevel/>
                </w14:textOutline>
              </w:rPr>
              <w:t xml:space="preserve">              </w:t>
            </w:r>
            <w:r w:rsidR="00E3332E" w:rsidRPr="00B41634">
              <w:rPr>
                <w:rFonts w:ascii="Webdings" w:hAnsi="Webdings"/>
                <w:b/>
                <w:bCs/>
                <w:color w:val="00B050"/>
                <w:sz w:val="40"/>
                <w:szCs w:val="40"/>
                <w14:shadow w14:blurRad="50800" w14:dist="38100" w14:dir="2700000" w14:sx="100000" w14:sy="100000" w14:kx="0" w14:ky="0" w14:algn="tl">
                  <w14:srgbClr w14:val="000000">
                    <w14:alpha w14:val="60000"/>
                  </w14:srgbClr>
                </w14:shadow>
                <w14:textOutline w14:w="3175" w14:cap="rnd" w14:cmpd="sng" w14:algn="ctr">
                  <w14:solidFill>
                    <w14:srgbClr w14:val="000000"/>
                  </w14:solidFill>
                  <w14:prstDash w14:val="solid"/>
                  <w14:bevel/>
                </w14:textOutline>
              </w:rPr>
              <w:t>n</w:t>
            </w:r>
          </w:p>
        </w:tc>
      </w:tr>
      <w:tr w:rsidR="00C57434" w14:paraId="30EEEFB9" w14:textId="77777777" w:rsidTr="001C541A">
        <w:trPr>
          <w:trHeight w:val="3956"/>
          <w:jc w:val="center"/>
        </w:trPr>
        <w:tc>
          <w:tcPr>
            <w:tcW w:w="21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6531"/>
          </w:tcPr>
          <w:p w14:paraId="335BE73B" w14:textId="25DA881C" w:rsidR="00C57434" w:rsidRPr="00D50EC1" w:rsidRDefault="003A5B31" w:rsidP="00C04033">
            <w:pPr>
              <w:spacing w:before="120"/>
              <w:rPr>
                <w:b/>
                <w:bCs/>
                <w:color w:val="FFFFFF" w:themeColor="background1"/>
              </w:rPr>
            </w:pPr>
            <w:r w:rsidRPr="00D50EC1">
              <w:rPr>
                <w:b/>
                <w:bCs/>
                <w:color w:val="FFFFFF" w:themeColor="background1"/>
              </w:rPr>
              <w:t>Who is the target market?</w:t>
            </w:r>
          </w:p>
        </w:tc>
        <w:tc>
          <w:tcPr>
            <w:tcW w:w="775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DE7DF"/>
          </w:tcPr>
          <w:p w14:paraId="10322A9B" w14:textId="3AA863E7" w:rsidR="005C0D71" w:rsidRDefault="005C0D71" w:rsidP="005C0D71">
            <w:pPr>
              <w:spacing w:before="120" w:after="120"/>
            </w:pPr>
            <w:r w:rsidRPr="00D16616">
              <w:t xml:space="preserve">The target market for our </w:t>
            </w:r>
            <w:r w:rsidR="00267AD8">
              <w:t>Immediate Care Plan &amp; Deferred Care Plan</w:t>
            </w:r>
            <w:r w:rsidRPr="00D16616">
              <w:t xml:space="preserve"> product</w:t>
            </w:r>
            <w:r w:rsidR="00267AD8">
              <w:t>s</w:t>
            </w:r>
            <w:r w:rsidRPr="00D16616">
              <w:t xml:space="preserve"> </w:t>
            </w:r>
            <w:r w:rsidR="00267AD8">
              <w:t>are</w:t>
            </w:r>
            <w:r>
              <w:t>:</w:t>
            </w:r>
          </w:p>
          <w:p w14:paraId="115B51E2" w14:textId="7A27D15E" w:rsidR="005C0D71" w:rsidRDefault="00D0693F" w:rsidP="005C0D71">
            <w:pPr>
              <w:pStyle w:val="ListParagraph"/>
              <w:numPr>
                <w:ilvl w:val="0"/>
                <w:numId w:val="12"/>
              </w:numPr>
              <w:ind w:left="314" w:hanging="11"/>
            </w:pPr>
            <w:r>
              <w:t xml:space="preserve">Individuals </w:t>
            </w:r>
            <w:r w:rsidR="00ED66EE">
              <w:t>who require permanent care for the rest of their lives, either immediately or within the next 5 years</w:t>
            </w:r>
            <w:r w:rsidR="003A4E3B">
              <w:t>.</w:t>
            </w:r>
          </w:p>
          <w:p w14:paraId="380756F5" w14:textId="5C036033" w:rsidR="003A4E3B" w:rsidRDefault="003A4E3B" w:rsidP="005C0D71">
            <w:pPr>
              <w:pStyle w:val="ListParagraph"/>
              <w:numPr>
                <w:ilvl w:val="0"/>
                <w:numId w:val="12"/>
              </w:numPr>
              <w:ind w:left="314" w:hanging="11"/>
            </w:pPr>
            <w:r>
              <w:t xml:space="preserve">Individuals with sufficient available funds to purchase an annuity; </w:t>
            </w:r>
            <w:r w:rsidR="00DC5D73">
              <w:t>minimum level is £20,000.</w:t>
            </w:r>
          </w:p>
          <w:p w14:paraId="196741DB" w14:textId="5D6AA026" w:rsidR="00312538" w:rsidRDefault="00312538" w:rsidP="005C0D71">
            <w:pPr>
              <w:pStyle w:val="ListParagraph"/>
              <w:numPr>
                <w:ilvl w:val="0"/>
                <w:numId w:val="12"/>
              </w:numPr>
              <w:ind w:left="314" w:hanging="11"/>
            </w:pPr>
            <w:r>
              <w:t xml:space="preserve">Individuals with sufficient available on-going funds to cover any care </w:t>
            </w:r>
            <w:r w:rsidR="006D0F91">
              <w:t>fees above the level of the annuity</w:t>
            </w:r>
          </w:p>
          <w:p w14:paraId="59C12291" w14:textId="1C22875D" w:rsidR="00DC5D73" w:rsidRDefault="002805C1" w:rsidP="005C0D71">
            <w:pPr>
              <w:pStyle w:val="ListParagraph"/>
              <w:numPr>
                <w:ilvl w:val="0"/>
                <w:numId w:val="12"/>
              </w:numPr>
              <w:ind w:left="314" w:hanging="11"/>
            </w:pPr>
            <w:r>
              <w:t>UK residents who are at least 60 years old at policy outset</w:t>
            </w:r>
          </w:p>
          <w:p w14:paraId="7BF16460" w14:textId="6E8DBCF4" w:rsidR="00930C67" w:rsidRPr="005940FA" w:rsidRDefault="00930C67" w:rsidP="005C0D71">
            <w:pPr>
              <w:pStyle w:val="ListParagraph"/>
              <w:numPr>
                <w:ilvl w:val="0"/>
                <w:numId w:val="12"/>
              </w:numPr>
              <w:ind w:left="314" w:hanging="11"/>
            </w:pPr>
            <w:r>
              <w:t xml:space="preserve">Individuals who want peace of mind that their care fees will be </w:t>
            </w:r>
            <w:r w:rsidR="00DF4923">
              <w:t>covered for the rest of the</w:t>
            </w:r>
            <w:r w:rsidR="006A4251">
              <w:t>ir</w:t>
            </w:r>
            <w:r w:rsidR="00DF4923">
              <w:t xml:space="preserve"> life</w:t>
            </w:r>
          </w:p>
          <w:p w14:paraId="6543673D" w14:textId="3B506C6C" w:rsidR="005C0D71" w:rsidRPr="008321AE" w:rsidRDefault="004A6853" w:rsidP="005C0D71">
            <w:pPr>
              <w:spacing w:before="120" w:after="120"/>
            </w:pPr>
            <w:r>
              <w:t>Immediate Care Plan &amp; Deferred Care Plan</w:t>
            </w:r>
            <w:r w:rsidRPr="00D16616">
              <w:t xml:space="preserve"> </w:t>
            </w:r>
            <w:r>
              <w:t>are</w:t>
            </w:r>
            <w:r w:rsidR="005C0D71">
              <w:t xml:space="preserve"> NOT suitable for:</w:t>
            </w:r>
          </w:p>
          <w:p w14:paraId="6B1E4180" w14:textId="125F57A3" w:rsidR="00A80C7B" w:rsidRPr="00A80C7B" w:rsidRDefault="00DF4923" w:rsidP="00A80C7B">
            <w:pPr>
              <w:pStyle w:val="ListParagraph"/>
              <w:numPr>
                <w:ilvl w:val="0"/>
                <w:numId w:val="13"/>
              </w:numPr>
            </w:pPr>
            <w:r>
              <w:t>Individuals with only short-term or ad-hoc care needs</w:t>
            </w:r>
          </w:p>
          <w:p w14:paraId="71357049" w14:textId="45EAF723" w:rsidR="00974DD0" w:rsidRDefault="00974DD0" w:rsidP="005C0D71">
            <w:pPr>
              <w:pStyle w:val="ListParagraph"/>
              <w:numPr>
                <w:ilvl w:val="0"/>
                <w:numId w:val="13"/>
              </w:numPr>
            </w:pPr>
            <w:r>
              <w:t>Individuals with insufficient available funds to cover the initial premium</w:t>
            </w:r>
          </w:p>
          <w:p w14:paraId="262A1EC6" w14:textId="4A0A6EFD" w:rsidR="006D0F91" w:rsidRDefault="006D0F91" w:rsidP="005C0D71">
            <w:pPr>
              <w:pStyle w:val="ListParagraph"/>
              <w:numPr>
                <w:ilvl w:val="0"/>
                <w:numId w:val="13"/>
              </w:numPr>
            </w:pPr>
            <w:r>
              <w:t xml:space="preserve">Individuals who will not have sufficient on-going funds to cover any costs above the level of </w:t>
            </w:r>
            <w:r w:rsidR="00A80C7B">
              <w:t>the annuity</w:t>
            </w:r>
          </w:p>
          <w:p w14:paraId="45A05CCB" w14:textId="0D7414B7" w:rsidR="00974DD0" w:rsidRDefault="00974DD0" w:rsidP="005C0D71">
            <w:pPr>
              <w:pStyle w:val="ListParagraph"/>
              <w:numPr>
                <w:ilvl w:val="0"/>
                <w:numId w:val="13"/>
              </w:numPr>
            </w:pPr>
            <w:r w:rsidRPr="00974DD0">
              <w:t xml:space="preserve">Non-UK residents, or those </w:t>
            </w:r>
            <w:r>
              <w:t>below 60 years old</w:t>
            </w:r>
          </w:p>
          <w:p w14:paraId="1FAA989F" w14:textId="3DD86452" w:rsidR="00974DD0" w:rsidRPr="00974DD0" w:rsidRDefault="00F12058" w:rsidP="005C0D71">
            <w:pPr>
              <w:pStyle w:val="ListParagraph"/>
              <w:numPr>
                <w:ilvl w:val="0"/>
                <w:numId w:val="13"/>
              </w:numPr>
            </w:pPr>
            <w:r>
              <w:t xml:space="preserve">Individuals seeking </w:t>
            </w:r>
            <w:r w:rsidR="00312538">
              <w:t>death benefits or critical illness cover</w:t>
            </w:r>
          </w:p>
          <w:p w14:paraId="67C2A2DD" w14:textId="509C47FC" w:rsidR="00C36662" w:rsidRPr="00EB775E" w:rsidRDefault="00C36662" w:rsidP="000D377F">
            <w:pPr>
              <w:pStyle w:val="ListParagraph"/>
              <w:ind w:left="19"/>
            </w:pPr>
          </w:p>
        </w:tc>
      </w:tr>
      <w:tr w:rsidR="00D26FF5" w14:paraId="62C97814" w14:textId="77777777" w:rsidTr="00402AF7">
        <w:trPr>
          <w:trHeight w:val="4258"/>
          <w:jc w:val="center"/>
        </w:trPr>
        <w:tc>
          <w:tcPr>
            <w:tcW w:w="21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6531"/>
          </w:tcPr>
          <w:p w14:paraId="796E1C16" w14:textId="189949D5" w:rsidR="00D26FF5" w:rsidRPr="0003326C" w:rsidRDefault="00D26FF5" w:rsidP="00C36662">
            <w:pPr>
              <w:spacing w:before="120"/>
            </w:pPr>
            <w:r w:rsidRPr="0003326C">
              <w:rPr>
                <w:b/>
                <w:bCs/>
                <w:color w:val="FFFFFF" w:themeColor="background1"/>
              </w:rPr>
              <w:t>Does the product in its current form offer fair value to target customers, including those in vulnerable circumstances?</w:t>
            </w:r>
          </w:p>
        </w:tc>
        <w:tc>
          <w:tcPr>
            <w:tcW w:w="775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DE7DF"/>
          </w:tcPr>
          <w:p w14:paraId="1290CDD0" w14:textId="77777777" w:rsidR="00B50983" w:rsidRPr="0003326C" w:rsidRDefault="00B50983" w:rsidP="00B50983">
            <w:pPr>
              <w:spacing w:before="120" w:after="120"/>
            </w:pPr>
            <w:r w:rsidRPr="0003326C">
              <w:t>Based on the assessments undertaken at product launch and subsequent monitoring and reviews of product performance the following commentary of key metrics can be evidenced:</w:t>
            </w:r>
          </w:p>
          <w:p w14:paraId="6E13676B" w14:textId="389E1E72" w:rsidR="00B50983" w:rsidRPr="0003326C" w:rsidRDefault="00B50983" w:rsidP="00B50983">
            <w:pPr>
              <w:pStyle w:val="ListParagraph"/>
              <w:numPr>
                <w:ilvl w:val="1"/>
                <w:numId w:val="12"/>
              </w:numPr>
              <w:ind w:left="281" w:hanging="281"/>
            </w:pPr>
            <w:r w:rsidRPr="0003326C">
              <w:t>Low levels of complaints were recorded</w:t>
            </w:r>
          </w:p>
          <w:p w14:paraId="5C52D8FE" w14:textId="7790FDBB" w:rsidR="00B50983" w:rsidRPr="0003326C" w:rsidRDefault="00B50983" w:rsidP="00B50983">
            <w:pPr>
              <w:pStyle w:val="ListParagraph"/>
              <w:numPr>
                <w:ilvl w:val="1"/>
                <w:numId w:val="12"/>
              </w:numPr>
              <w:ind w:left="281" w:hanging="281"/>
            </w:pPr>
            <w:r w:rsidRPr="0003326C">
              <w:t>Claims costs remain in line with expectations</w:t>
            </w:r>
          </w:p>
          <w:p w14:paraId="5E369182" w14:textId="3F6898DB" w:rsidR="00B50983" w:rsidRPr="0003326C" w:rsidRDefault="00B50983" w:rsidP="00B50983">
            <w:pPr>
              <w:pStyle w:val="ListParagraph"/>
              <w:numPr>
                <w:ilvl w:val="1"/>
                <w:numId w:val="12"/>
              </w:numPr>
              <w:ind w:left="281" w:hanging="281"/>
            </w:pPr>
            <w:r w:rsidRPr="0003326C">
              <w:t>Distribution channels remain suitable for the target market</w:t>
            </w:r>
          </w:p>
          <w:p w14:paraId="38645D65" w14:textId="2D8059CD" w:rsidR="00B50983" w:rsidRPr="0003326C" w:rsidRDefault="00B50983" w:rsidP="00B50983">
            <w:pPr>
              <w:pStyle w:val="ListParagraph"/>
              <w:numPr>
                <w:ilvl w:val="1"/>
                <w:numId w:val="12"/>
              </w:numPr>
              <w:ind w:left="281" w:hanging="281"/>
            </w:pPr>
            <w:r w:rsidRPr="0003326C">
              <w:t>Overall cost of the product is acceptable and continues to provide fair value</w:t>
            </w:r>
          </w:p>
          <w:p w14:paraId="5AEDE953" w14:textId="54BD521A" w:rsidR="00B50983" w:rsidRPr="0003326C" w:rsidRDefault="00B50983" w:rsidP="008F4DCD">
            <w:pPr>
              <w:pStyle w:val="ListParagraph"/>
              <w:numPr>
                <w:ilvl w:val="1"/>
                <w:numId w:val="12"/>
              </w:numPr>
              <w:spacing w:after="120"/>
              <w:ind w:left="284" w:hanging="284"/>
            </w:pPr>
            <w:r w:rsidRPr="0003326C">
              <w:t>Vulnerable customers are receiving outcomes at least in line with other customer categories</w:t>
            </w:r>
          </w:p>
          <w:p w14:paraId="741CEC4B" w14:textId="77777777" w:rsidR="00B50983" w:rsidRPr="0003326C" w:rsidRDefault="00B50983" w:rsidP="00B50983">
            <w:pPr>
              <w:spacing w:before="120" w:after="120"/>
            </w:pPr>
            <w:r w:rsidRPr="0003326C">
              <w:t>We aim to maintain the current levels of monitoring and reviewing of products on a continuing basis with the use of effective MI an integral part of our future product governance.</w:t>
            </w:r>
          </w:p>
          <w:p w14:paraId="1038816A" w14:textId="7A8D20F2" w:rsidR="00D26FF5" w:rsidRPr="0003326C" w:rsidRDefault="00DA2FAC" w:rsidP="00B50983">
            <w:pPr>
              <w:spacing w:before="120" w:after="120"/>
            </w:pPr>
            <w:r>
              <w:t xml:space="preserve">We maintain vulnerable customers training for all staff and update our training as required with changes to the regulatory expectations and </w:t>
            </w:r>
            <w:proofErr w:type="gramStart"/>
            <w:r>
              <w:t>market as a whole</w:t>
            </w:r>
            <w:proofErr w:type="gramEnd"/>
            <w:r>
              <w:t xml:space="preserve">. </w:t>
            </w:r>
            <w:r w:rsidRPr="006D007D">
              <w:t>We have also introduced a dedicated Vulnerable Customer Advisor within our Customer Services team who is positioned to triage outcomes of these customers and provide bespoke assistance where necessary. Our wider customer services and claims teams also receive bespoke training to ensure they have the required expertise and key interpersonal skills to identify vulnerabilities and provide individual support and assistance as required.</w:t>
            </w:r>
          </w:p>
        </w:tc>
      </w:tr>
    </w:tbl>
    <w:p w14:paraId="63A971F3" w14:textId="77777777" w:rsidR="001C541A" w:rsidRDefault="001C541A">
      <w:r>
        <w:br w:type="page"/>
      </w:r>
    </w:p>
    <w:tbl>
      <w:tblPr>
        <w:tblStyle w:val="TableGrid"/>
        <w:tblW w:w="0" w:type="auto"/>
        <w:jc w:val="center"/>
        <w:tblLook w:val="04A0" w:firstRow="1" w:lastRow="0" w:firstColumn="1" w:lastColumn="0" w:noHBand="0" w:noVBand="1"/>
      </w:tblPr>
      <w:tblGrid>
        <w:gridCol w:w="2120"/>
        <w:gridCol w:w="7756"/>
      </w:tblGrid>
      <w:tr w:rsidR="00E466C8" w14:paraId="59CBDE88" w14:textId="77777777" w:rsidTr="0022660E">
        <w:trPr>
          <w:trHeight w:val="4965"/>
          <w:jc w:val="center"/>
        </w:trPr>
        <w:tc>
          <w:tcPr>
            <w:tcW w:w="21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6531"/>
          </w:tcPr>
          <w:p w14:paraId="77832485" w14:textId="18ED5382" w:rsidR="00E466C8" w:rsidRPr="0003326C" w:rsidRDefault="00E466C8" w:rsidP="00BA7F0F">
            <w:pPr>
              <w:spacing w:before="120"/>
              <w:rPr>
                <w:b/>
                <w:bCs/>
                <w:color w:val="FFFFFF" w:themeColor="background1"/>
              </w:rPr>
            </w:pPr>
            <w:r w:rsidRPr="0003326C">
              <w:rPr>
                <w:b/>
                <w:bCs/>
                <w:color w:val="FFFFFF" w:themeColor="background1"/>
              </w:rPr>
              <w:lastRenderedPageBreak/>
              <w:t>What are the intended benefits of the product to customers within the target market?</w:t>
            </w:r>
          </w:p>
        </w:tc>
        <w:tc>
          <w:tcPr>
            <w:tcW w:w="775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DE7DF"/>
          </w:tcPr>
          <w:p w14:paraId="5003DF28" w14:textId="77777777" w:rsidR="008A70E4" w:rsidRPr="0003326C" w:rsidRDefault="008A70E4" w:rsidP="008A70E4">
            <w:pPr>
              <w:spacing w:before="120" w:after="120"/>
            </w:pPr>
            <w:r w:rsidRPr="0003326C">
              <w:t>The product is designed to provide the following benefits to the customer:</w:t>
            </w:r>
          </w:p>
          <w:p w14:paraId="4E658987" w14:textId="46DEB666" w:rsidR="008A70E4" w:rsidRPr="0003326C" w:rsidRDefault="008A70E4" w:rsidP="008A70E4">
            <w:pPr>
              <w:pStyle w:val="ListParagraph"/>
              <w:numPr>
                <w:ilvl w:val="0"/>
                <w:numId w:val="12"/>
              </w:numPr>
              <w:ind w:left="314" w:hanging="284"/>
            </w:pPr>
            <w:r w:rsidRPr="0003326C">
              <w:t>Provides the annuitant with a defined monthly (or 28 day) payment to their registered care provider for the rest of their life</w:t>
            </w:r>
          </w:p>
          <w:p w14:paraId="18145B47" w14:textId="7A0241A4" w:rsidR="008A70E4" w:rsidRPr="0003326C" w:rsidRDefault="008A70E4" w:rsidP="008A70E4">
            <w:pPr>
              <w:pStyle w:val="ListParagraph"/>
              <w:numPr>
                <w:ilvl w:val="0"/>
                <w:numId w:val="12"/>
              </w:numPr>
              <w:ind w:left="314" w:hanging="284"/>
            </w:pPr>
            <w:r w:rsidRPr="0003326C">
              <w:t>Provides 100% capital protection for the first month of the policy</w:t>
            </w:r>
          </w:p>
          <w:p w14:paraId="418E89BC" w14:textId="7DD5D7E3" w:rsidR="008A70E4" w:rsidRPr="0003326C" w:rsidRDefault="008A70E4" w:rsidP="008A70E4">
            <w:pPr>
              <w:pStyle w:val="ListParagraph"/>
              <w:numPr>
                <w:ilvl w:val="0"/>
                <w:numId w:val="12"/>
              </w:numPr>
              <w:ind w:left="314" w:hanging="284"/>
            </w:pPr>
            <w:r w:rsidRPr="0003326C">
              <w:t>Optional benefit of short-term capital protection for months 2 to 6: 50% protection for months 2-3, and 25% protection for months 4-6</w:t>
            </w:r>
          </w:p>
          <w:p w14:paraId="78A72982" w14:textId="2804F0D6" w:rsidR="008A70E4" w:rsidRPr="0003326C" w:rsidRDefault="008A70E4" w:rsidP="008A70E4">
            <w:pPr>
              <w:pStyle w:val="ListParagraph"/>
              <w:numPr>
                <w:ilvl w:val="0"/>
                <w:numId w:val="12"/>
              </w:numPr>
              <w:ind w:left="314" w:hanging="284"/>
            </w:pPr>
            <w:r w:rsidRPr="0003326C">
              <w:t xml:space="preserve">Optional benefit of long-term capital protection (for Immediate </w:t>
            </w:r>
            <w:r w:rsidR="00F55C02">
              <w:t xml:space="preserve">Care Plans </w:t>
            </w:r>
            <w:r w:rsidRPr="0003326C">
              <w:t>only) to protect between 1% and 80% of the original premium</w:t>
            </w:r>
          </w:p>
          <w:p w14:paraId="01E44267" w14:textId="3DBF12A5" w:rsidR="008A70E4" w:rsidRPr="0003326C" w:rsidRDefault="008A70E4" w:rsidP="008A70E4">
            <w:pPr>
              <w:pStyle w:val="ListParagraph"/>
              <w:numPr>
                <w:ilvl w:val="0"/>
                <w:numId w:val="12"/>
              </w:numPr>
              <w:ind w:left="314" w:hanging="284"/>
            </w:pPr>
            <w:r w:rsidRPr="0003326C">
              <w:t xml:space="preserve">Both short-term and long-term capital protection can be added </w:t>
            </w:r>
            <w:proofErr w:type="gramStart"/>
            <w:r w:rsidRPr="0003326C">
              <w:t>concurrently</w:t>
            </w:r>
            <w:proofErr w:type="gramEnd"/>
            <w:r w:rsidRPr="0003326C">
              <w:t xml:space="preserve"> and we will always ensure that the higher amount will be paid out if requirements for both are met. Please note we will not pay out both values; only the higher value of the two</w:t>
            </w:r>
          </w:p>
          <w:p w14:paraId="62735732" w14:textId="09F29F06" w:rsidR="008A70E4" w:rsidRPr="0003326C" w:rsidRDefault="008A70E4" w:rsidP="008A70E4">
            <w:pPr>
              <w:pStyle w:val="ListParagraph"/>
              <w:numPr>
                <w:ilvl w:val="0"/>
                <w:numId w:val="12"/>
              </w:numPr>
              <w:ind w:left="314" w:hanging="284"/>
            </w:pPr>
            <w:r w:rsidRPr="0003326C">
              <w:t xml:space="preserve">Option to index payments between 3% and 10% per year; or (for Immediate </w:t>
            </w:r>
            <w:r w:rsidR="00272C79">
              <w:t>Care Plans</w:t>
            </w:r>
            <w:r w:rsidRPr="0003326C">
              <w:t xml:space="preserve"> only) in line with RPI each year. Please note RPI indexation is not available if a capital protection benefit is chosen</w:t>
            </w:r>
          </w:p>
          <w:p w14:paraId="7D1CED63" w14:textId="5F7E8040" w:rsidR="008A70E4" w:rsidRPr="0003326C" w:rsidRDefault="008A70E4" w:rsidP="008A70E4">
            <w:pPr>
              <w:pStyle w:val="ListParagraph"/>
              <w:numPr>
                <w:ilvl w:val="0"/>
                <w:numId w:val="12"/>
              </w:numPr>
              <w:ind w:left="314" w:hanging="284"/>
            </w:pPr>
            <w:r w:rsidRPr="0003326C">
              <w:t>Option to defer the payment of care home fees for a period of 1, 2, 3, 4 or 5 years at the point of applying</w:t>
            </w:r>
          </w:p>
        </w:tc>
      </w:tr>
      <w:tr w:rsidR="00760E86" w14:paraId="16325525" w14:textId="77777777" w:rsidTr="00402AF7">
        <w:trPr>
          <w:trHeight w:val="1871"/>
          <w:jc w:val="center"/>
        </w:trPr>
        <w:tc>
          <w:tcPr>
            <w:tcW w:w="21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6531"/>
          </w:tcPr>
          <w:p w14:paraId="1803739F" w14:textId="1EF5C8F3" w:rsidR="00760E86" w:rsidRPr="00D50EC1" w:rsidRDefault="00760E86" w:rsidP="00760E86">
            <w:pPr>
              <w:spacing w:before="120"/>
              <w:rPr>
                <w:b/>
                <w:bCs/>
                <w:color w:val="FFFFFF" w:themeColor="background1"/>
              </w:rPr>
            </w:pPr>
            <w:r w:rsidRPr="008D3386">
              <w:rPr>
                <w:b/>
                <w:bCs/>
                <w:color w:val="FFFFFF" w:themeColor="background1"/>
              </w:rPr>
              <w:t>What ancillary benefits are offered with this product? How are these adding value to the product?</w:t>
            </w:r>
          </w:p>
        </w:tc>
        <w:tc>
          <w:tcPr>
            <w:tcW w:w="775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DE7DF"/>
          </w:tcPr>
          <w:p w14:paraId="577748D7" w14:textId="7B5E12D6" w:rsidR="00760E86" w:rsidRPr="008758A0" w:rsidRDefault="009E193E" w:rsidP="001C541A">
            <w:pPr>
              <w:spacing w:before="120" w:after="120"/>
            </w:pPr>
            <w:r>
              <w:t xml:space="preserve">To ensure the </w:t>
            </w:r>
            <w:r w:rsidR="0093230B">
              <w:t xml:space="preserve">product is </w:t>
            </w:r>
            <w:r w:rsidR="00EA776D">
              <w:t xml:space="preserve">priced appropriately there are no ancillary benefits applicable. </w:t>
            </w:r>
            <w:r w:rsidR="00A6223C">
              <w:t xml:space="preserve">Due to the nature of this product it was concluded </w:t>
            </w:r>
            <w:r w:rsidR="000B4D58">
              <w:t xml:space="preserve">price was the main factor in choosing the product and there were no available ancillary benefits that would add additional value to the policyholder. The policyholder </w:t>
            </w:r>
            <w:r w:rsidR="00C25DB8">
              <w:t>is a member of the Society and is eligible to vote at our AGM.</w:t>
            </w:r>
          </w:p>
        </w:tc>
      </w:tr>
      <w:tr w:rsidR="007331E7" w14:paraId="387FF91B" w14:textId="77777777" w:rsidTr="001327AC">
        <w:trPr>
          <w:trHeight w:val="1944"/>
          <w:jc w:val="center"/>
        </w:trPr>
        <w:tc>
          <w:tcPr>
            <w:tcW w:w="21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6531"/>
          </w:tcPr>
          <w:p w14:paraId="2F2E9487" w14:textId="0034C6C6" w:rsidR="007331E7" w:rsidRPr="0003326C" w:rsidRDefault="007331E7" w:rsidP="007331E7">
            <w:pPr>
              <w:spacing w:before="120"/>
              <w:rPr>
                <w:b/>
                <w:bCs/>
                <w:color w:val="FFFFFF" w:themeColor="background1"/>
              </w:rPr>
            </w:pPr>
            <w:r w:rsidRPr="0003326C">
              <w:rPr>
                <w:b/>
                <w:bCs/>
                <w:color w:val="FFFFFF" w:themeColor="background1"/>
              </w:rPr>
              <w:t>Does the product offer fair value to all customers within the target market?</w:t>
            </w:r>
          </w:p>
        </w:tc>
        <w:tc>
          <w:tcPr>
            <w:tcW w:w="775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DE7DF"/>
          </w:tcPr>
          <w:p w14:paraId="37598EC6" w14:textId="77777777" w:rsidR="001327AC" w:rsidRPr="0003326C" w:rsidRDefault="001327AC" w:rsidP="001327AC">
            <w:pPr>
              <w:spacing w:before="120"/>
            </w:pPr>
            <w:r w:rsidRPr="0003326C">
              <w:t>The premium payable will differ based on many factors including those outlined above. However, our pricing or product benefits are not designed to adversely impact on any customers, or specific customer categories within our specified target market.</w:t>
            </w:r>
          </w:p>
          <w:p w14:paraId="2904CED8" w14:textId="7DF02AA1" w:rsidR="007331E7" w:rsidRPr="0003326C" w:rsidRDefault="00C25DB8" w:rsidP="001327AC">
            <w:pPr>
              <w:spacing w:before="120" w:after="120"/>
            </w:pPr>
            <w:r>
              <w:t>W</w:t>
            </w:r>
            <w:r w:rsidR="001327AC" w:rsidRPr="0003326C">
              <w:t xml:space="preserve">e regularly undertake price comparisons within the </w:t>
            </w:r>
            <w:proofErr w:type="gramStart"/>
            <w:r w:rsidR="001327AC" w:rsidRPr="0003326C">
              <w:t>marketplace</w:t>
            </w:r>
            <w:proofErr w:type="gramEnd"/>
            <w:r w:rsidR="001327AC" w:rsidRPr="0003326C">
              <w:t xml:space="preserve"> and we are confident our rates remain competitive.</w:t>
            </w:r>
          </w:p>
        </w:tc>
      </w:tr>
      <w:tr w:rsidR="00E0686B" w14:paraId="6E3CC36F" w14:textId="77777777" w:rsidTr="00A451AD">
        <w:trPr>
          <w:trHeight w:val="2876"/>
          <w:jc w:val="center"/>
        </w:trPr>
        <w:tc>
          <w:tcPr>
            <w:tcW w:w="21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6531"/>
          </w:tcPr>
          <w:p w14:paraId="6BCC218B" w14:textId="756D7E1F" w:rsidR="00E0686B" w:rsidRPr="0003326C" w:rsidRDefault="00E0686B" w:rsidP="00E0686B">
            <w:pPr>
              <w:spacing w:before="120"/>
              <w:rPr>
                <w:b/>
                <w:bCs/>
                <w:color w:val="FFFFFF" w:themeColor="background1"/>
              </w:rPr>
            </w:pPr>
            <w:r w:rsidRPr="0003326C">
              <w:rPr>
                <w:b/>
                <w:bCs/>
                <w:color w:val="FFFFFF" w:themeColor="background1"/>
              </w:rPr>
              <w:t>Does the product enable suitable use by the target market?</w:t>
            </w:r>
          </w:p>
        </w:tc>
        <w:tc>
          <w:tcPr>
            <w:tcW w:w="775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DE7DF"/>
          </w:tcPr>
          <w:p w14:paraId="6A793BF0" w14:textId="1DF6B44D" w:rsidR="00B671AE" w:rsidRPr="0003326C" w:rsidRDefault="00B671AE" w:rsidP="00B671AE">
            <w:pPr>
              <w:spacing w:before="120" w:after="120"/>
            </w:pPr>
            <w:r w:rsidRPr="0003326C">
              <w:t xml:space="preserve">The target market was finalised at product launch following market and customer </w:t>
            </w:r>
            <w:proofErr w:type="gramStart"/>
            <w:r w:rsidRPr="0003326C">
              <w:t>research, and</w:t>
            </w:r>
            <w:proofErr w:type="gramEnd"/>
            <w:r w:rsidRPr="0003326C">
              <w:t xml:space="preserve"> is considered throughout our product reviews and via market and customer feedback. Our distribution arrangements ensure the product is targeted to our specified target market. Details of the product’s target market specifications can be found in its Target Market </w:t>
            </w:r>
            <w:r w:rsidR="004E4788" w:rsidRPr="0003326C">
              <w:t>Information document:</w:t>
            </w:r>
          </w:p>
          <w:p w14:paraId="03799734" w14:textId="45CCE1E9" w:rsidR="004E4788" w:rsidRPr="00DB4199" w:rsidRDefault="00DB4199" w:rsidP="004E4788">
            <w:pPr>
              <w:pStyle w:val="ListParagraph"/>
              <w:numPr>
                <w:ilvl w:val="0"/>
                <w:numId w:val="31"/>
              </w:numPr>
              <w:spacing w:before="120"/>
              <w:ind w:left="405" w:hanging="284"/>
              <w:rPr>
                <w:rStyle w:val="Hyperlink"/>
              </w:rPr>
            </w:pPr>
            <w:r>
              <w:fldChar w:fldCharType="begin"/>
            </w:r>
            <w:r>
              <w:instrText>HYPERLINK "https://nationalfriendly.co.uk/media/433aqbl4/icp-target-market-information.pdf"</w:instrText>
            </w:r>
            <w:r>
              <w:fldChar w:fldCharType="separate"/>
            </w:r>
            <w:r w:rsidR="004E4788" w:rsidRPr="00DB4199">
              <w:rPr>
                <w:rStyle w:val="Hyperlink"/>
                <w:sz w:val="24"/>
                <w:szCs w:val="24"/>
              </w:rPr>
              <w:t>Immediate Care Plan</w:t>
            </w:r>
          </w:p>
          <w:p w14:paraId="6CB1FE67" w14:textId="0115270B" w:rsidR="004E4788" w:rsidRPr="0007513F" w:rsidRDefault="00DB4199" w:rsidP="00A451AD">
            <w:pPr>
              <w:pStyle w:val="ListParagraph"/>
              <w:numPr>
                <w:ilvl w:val="0"/>
                <w:numId w:val="31"/>
              </w:numPr>
              <w:spacing w:before="120"/>
              <w:ind w:left="405" w:hanging="284"/>
              <w:rPr>
                <w:rStyle w:val="Hyperlink"/>
              </w:rPr>
            </w:pPr>
            <w:r>
              <w:fldChar w:fldCharType="end"/>
            </w:r>
            <w:r w:rsidR="0007513F">
              <w:fldChar w:fldCharType="begin"/>
            </w:r>
            <w:r w:rsidR="0007513F">
              <w:instrText>HYPERLINK "https://nationalfriendly.co.uk/media/q4tboy4y/dcp-target-market-information.pdf"</w:instrText>
            </w:r>
            <w:r w:rsidR="0007513F">
              <w:fldChar w:fldCharType="separate"/>
            </w:r>
            <w:r w:rsidR="004E4788" w:rsidRPr="0007513F">
              <w:rPr>
                <w:rStyle w:val="Hyperlink"/>
                <w:sz w:val="24"/>
                <w:szCs w:val="24"/>
              </w:rPr>
              <w:t>Deferred Care Plan</w:t>
            </w:r>
          </w:p>
          <w:p w14:paraId="112FB4EE" w14:textId="5CE26FED" w:rsidR="00E0686B" w:rsidRPr="0003326C" w:rsidRDefault="0007513F" w:rsidP="00B671AE">
            <w:pPr>
              <w:spacing w:before="120"/>
            </w:pPr>
            <w:r>
              <w:fldChar w:fldCharType="end"/>
            </w:r>
            <w:r w:rsidR="00B671AE" w:rsidRPr="0003326C">
              <w:t>This is the only National Friendly Immediate Needs Annuity product available to new customers.</w:t>
            </w:r>
          </w:p>
        </w:tc>
      </w:tr>
    </w:tbl>
    <w:p w14:paraId="1094E9A3" w14:textId="1CC285C2" w:rsidR="00A237D2" w:rsidRPr="00F91E47" w:rsidRDefault="00A237D2" w:rsidP="00585E54">
      <w:pPr>
        <w:rPr>
          <w:sz w:val="16"/>
          <w:szCs w:val="16"/>
        </w:rPr>
      </w:pPr>
    </w:p>
    <w:p w14:paraId="714FF458" w14:textId="77777777" w:rsidR="00896EEF" w:rsidRDefault="00896EEF" w:rsidP="00ED0CBB">
      <w:pPr>
        <w:pStyle w:val="ListParagraph"/>
        <w:numPr>
          <w:ilvl w:val="0"/>
          <w:numId w:val="33"/>
        </w:numPr>
      </w:pPr>
      <w:r>
        <w:br w:type="page"/>
      </w:r>
    </w:p>
    <w:tbl>
      <w:tblPr>
        <w:tblStyle w:val="TableGrid"/>
        <w:tblW w:w="0" w:type="auto"/>
        <w:tblLook w:val="04A0" w:firstRow="1" w:lastRow="0" w:firstColumn="1" w:lastColumn="0" w:noHBand="0" w:noVBand="1"/>
      </w:tblPr>
      <w:tblGrid>
        <w:gridCol w:w="2120"/>
        <w:gridCol w:w="7756"/>
      </w:tblGrid>
      <w:tr w:rsidR="00A237D2" w14:paraId="3DBB8299" w14:textId="77777777" w:rsidTr="00661CDB">
        <w:trPr>
          <w:trHeight w:val="612"/>
        </w:trPr>
        <w:tc>
          <w:tcPr>
            <w:tcW w:w="9876"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6531"/>
            <w:vAlign w:val="center"/>
          </w:tcPr>
          <w:p w14:paraId="766938F8" w14:textId="2C5FC687" w:rsidR="00A237D2" w:rsidRPr="00A237D2" w:rsidRDefault="00A237D2" w:rsidP="00670447">
            <w:pPr>
              <w:rPr>
                <w:b/>
                <w:bCs/>
                <w:color w:val="FFFFFF" w:themeColor="background1"/>
                <w:sz w:val="28"/>
                <w:szCs w:val="28"/>
              </w:rPr>
            </w:pPr>
            <w:r w:rsidRPr="00A237D2">
              <w:rPr>
                <w:b/>
                <w:bCs/>
                <w:color w:val="FFFFFF" w:themeColor="background1"/>
                <w:sz w:val="28"/>
                <w:szCs w:val="28"/>
              </w:rPr>
              <w:lastRenderedPageBreak/>
              <w:t>Produ</w:t>
            </w:r>
            <w:r>
              <w:rPr>
                <w:b/>
                <w:bCs/>
                <w:color w:val="FFFFFF" w:themeColor="background1"/>
                <w:sz w:val="28"/>
                <w:szCs w:val="28"/>
              </w:rPr>
              <w:t>ct</w:t>
            </w:r>
            <w:r w:rsidR="009A6E8C">
              <w:rPr>
                <w:b/>
                <w:bCs/>
                <w:color w:val="FFFFFF" w:themeColor="background1"/>
                <w:sz w:val="28"/>
                <w:szCs w:val="28"/>
                <w14:textOutline w14:w="9525" w14:cap="rnd" w14:cmpd="sng" w14:algn="ctr">
                  <w14:solidFill>
                    <w14:srgbClr w14:val="000000"/>
                  </w14:solidFill>
                  <w14:prstDash w14:val="solid"/>
                  <w14:bevel/>
                </w14:textOutline>
              </w:rPr>
              <w:t xml:space="preserve">                                                                                                                </w:t>
            </w:r>
            <w:r w:rsidR="00670447">
              <w:rPr>
                <w:b/>
                <w:bCs/>
                <w:color w:val="FFFFFF" w:themeColor="background1"/>
                <w:sz w:val="28"/>
                <w:szCs w:val="28"/>
                <w14:textOutline w14:w="9525" w14:cap="rnd" w14:cmpd="sng" w14:algn="ctr">
                  <w14:solidFill>
                    <w14:srgbClr w14:val="000000"/>
                  </w14:solidFill>
                  <w14:prstDash w14:val="solid"/>
                  <w14:bevel/>
                </w14:textOutline>
              </w:rPr>
              <w:t xml:space="preserve">   </w:t>
            </w:r>
            <w:r w:rsidR="009A6E8C">
              <w:rPr>
                <w:b/>
                <w:bCs/>
                <w:color w:val="FFFFFF" w:themeColor="background1"/>
                <w:sz w:val="28"/>
                <w:szCs w:val="28"/>
                <w14:textOutline w14:w="9525" w14:cap="rnd" w14:cmpd="sng" w14:algn="ctr">
                  <w14:solidFill>
                    <w14:srgbClr w14:val="000000"/>
                  </w14:solidFill>
                  <w14:prstDash w14:val="solid"/>
                  <w14:bevel/>
                </w14:textOutline>
              </w:rPr>
              <w:t xml:space="preserve">                              </w:t>
            </w:r>
            <w:r w:rsidR="009A6E8C" w:rsidRPr="00B41634">
              <w:rPr>
                <w:rFonts w:ascii="Webdings" w:hAnsi="Webdings"/>
                <w:b/>
                <w:bCs/>
                <w:color w:val="00B050"/>
                <w:sz w:val="40"/>
                <w:szCs w:val="40"/>
                <w14:shadow w14:blurRad="50800" w14:dist="38100" w14:dir="2700000" w14:sx="100000" w14:sy="100000" w14:kx="0" w14:ky="0" w14:algn="tl">
                  <w14:srgbClr w14:val="000000">
                    <w14:alpha w14:val="60000"/>
                  </w14:srgbClr>
                </w14:shadow>
                <w14:textOutline w14:w="3175" w14:cap="rnd" w14:cmpd="sng" w14:algn="ctr">
                  <w14:solidFill>
                    <w14:srgbClr w14:val="000000"/>
                  </w14:solidFill>
                  <w14:prstDash w14:val="solid"/>
                  <w14:bevel/>
                </w14:textOutline>
              </w:rPr>
              <w:t>n</w:t>
            </w:r>
          </w:p>
        </w:tc>
      </w:tr>
      <w:tr w:rsidR="00010225" w14:paraId="46C4573E" w14:textId="77777777" w:rsidTr="00402AF7">
        <w:trPr>
          <w:trHeight w:val="1923"/>
        </w:trPr>
        <w:tc>
          <w:tcPr>
            <w:tcW w:w="21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6531"/>
          </w:tcPr>
          <w:p w14:paraId="66627B2F" w14:textId="4B6C689C" w:rsidR="00010225" w:rsidRPr="0003326C" w:rsidRDefault="00FA2592" w:rsidP="00FA2592">
            <w:pPr>
              <w:spacing w:before="120"/>
              <w:rPr>
                <w:b/>
                <w:bCs/>
                <w:color w:val="FFFFFF" w:themeColor="background1"/>
              </w:rPr>
            </w:pPr>
            <w:r w:rsidRPr="0003326C">
              <w:rPr>
                <w:b/>
                <w:bCs/>
                <w:color w:val="FFFFFF" w:themeColor="background1"/>
              </w:rPr>
              <w:t>What product limits or exclusions are in place which the customer should be aware of?</w:t>
            </w:r>
          </w:p>
        </w:tc>
        <w:tc>
          <w:tcPr>
            <w:tcW w:w="775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DE7DF"/>
          </w:tcPr>
          <w:p w14:paraId="6B1CB122" w14:textId="26BEE8FF" w:rsidR="00010225" w:rsidRPr="0003326C" w:rsidRDefault="00817421" w:rsidP="00141C1E">
            <w:pPr>
              <w:spacing w:before="120" w:after="120"/>
            </w:pPr>
            <w:r w:rsidRPr="0003326C">
              <w:t xml:space="preserve">There are certain limitations and exclusions that policyholders must be made aware of prior to applying; including that we only offer single life policies and have a minimum premium level of £20,000. Any costs </w:t>
            </w:r>
            <w:proofErr w:type="gramStart"/>
            <w:r w:rsidRPr="0003326C">
              <w:t>in excess of</w:t>
            </w:r>
            <w:proofErr w:type="gramEnd"/>
            <w:r w:rsidRPr="0003326C">
              <w:t xml:space="preserve"> the regular payment paid by the annuity must be covered by the annuitant (or a third party) outside of the annuity. The product is only open to UK residents with a minimum entry age of 60 years old. We will only pay to a care provider which is registered with an appropriate regulatory body in the UK. In addition, we will only make regular payments to the care home on a monthly or 28-day basis. If a capital protection benefit is </w:t>
            </w:r>
            <w:proofErr w:type="gramStart"/>
            <w:r w:rsidRPr="0003326C">
              <w:t>chosen</w:t>
            </w:r>
            <w:proofErr w:type="gramEnd"/>
            <w:r w:rsidRPr="0003326C">
              <w:t xml:space="preserve"> then RPI escalation is not available as an option.</w:t>
            </w:r>
          </w:p>
        </w:tc>
      </w:tr>
      <w:tr w:rsidR="00141C1E" w14:paraId="6DCC71D8" w14:textId="77777777" w:rsidTr="00402AF7">
        <w:trPr>
          <w:trHeight w:val="1573"/>
        </w:trPr>
        <w:tc>
          <w:tcPr>
            <w:tcW w:w="21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6531"/>
          </w:tcPr>
          <w:p w14:paraId="6235829B" w14:textId="47112AFC" w:rsidR="00141C1E" w:rsidRPr="0003326C" w:rsidRDefault="00141C1E" w:rsidP="00141C1E">
            <w:pPr>
              <w:spacing w:before="120"/>
              <w:rPr>
                <w:b/>
                <w:bCs/>
                <w:color w:val="FFFFFF" w:themeColor="background1"/>
              </w:rPr>
            </w:pPr>
            <w:r w:rsidRPr="0003326C">
              <w:rPr>
                <w:b/>
                <w:bCs/>
                <w:color w:val="FFFFFF" w:themeColor="background1"/>
              </w:rPr>
              <w:t>Does the product allow for easy switching to another provider or product?</w:t>
            </w:r>
          </w:p>
        </w:tc>
        <w:tc>
          <w:tcPr>
            <w:tcW w:w="775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DE7DF"/>
          </w:tcPr>
          <w:p w14:paraId="6350652B" w14:textId="77777777" w:rsidR="00141C1E" w:rsidRDefault="00433EA5" w:rsidP="00141C1E">
            <w:pPr>
              <w:spacing w:before="120" w:after="120"/>
            </w:pPr>
            <w:r w:rsidRPr="0003326C">
              <w:t>We are currently 1 of only 4 providers of Immediate Needs Annuities so alternative options within the market are limited.</w:t>
            </w:r>
          </w:p>
          <w:p w14:paraId="39E05292" w14:textId="550A36B1" w:rsidR="002A1D0A" w:rsidRPr="0003326C" w:rsidRDefault="00A978E5" w:rsidP="00141C1E">
            <w:pPr>
              <w:spacing w:before="120" w:after="120"/>
            </w:pPr>
            <w:r>
              <w:t>Once</w:t>
            </w:r>
            <w:r w:rsidR="00F76F0C">
              <w:t xml:space="preserve"> the annuity has been set up it cannot be cancelled (unless within the cancellation period)</w:t>
            </w:r>
            <w:r w:rsidR="00782804">
              <w:t>.</w:t>
            </w:r>
          </w:p>
        </w:tc>
      </w:tr>
    </w:tbl>
    <w:p w14:paraId="47B82855" w14:textId="77777777" w:rsidR="00AE0108" w:rsidRPr="00CA1AA7" w:rsidRDefault="00AE0108" w:rsidP="00CA1AA7">
      <w:pPr>
        <w:spacing w:after="0"/>
        <w:rPr>
          <w:sz w:val="16"/>
          <w:szCs w:val="16"/>
        </w:rPr>
      </w:pPr>
    </w:p>
    <w:tbl>
      <w:tblPr>
        <w:tblStyle w:val="TableGrid"/>
        <w:tblW w:w="0" w:type="auto"/>
        <w:tblLook w:val="04A0" w:firstRow="1" w:lastRow="0" w:firstColumn="1" w:lastColumn="0" w:noHBand="0" w:noVBand="1"/>
      </w:tblPr>
      <w:tblGrid>
        <w:gridCol w:w="2120"/>
        <w:gridCol w:w="7756"/>
      </w:tblGrid>
      <w:tr w:rsidR="00AE0108" w14:paraId="5D565A1C" w14:textId="77777777" w:rsidTr="00402AF7">
        <w:trPr>
          <w:trHeight w:val="608"/>
        </w:trPr>
        <w:tc>
          <w:tcPr>
            <w:tcW w:w="9876"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6531"/>
            <w:vAlign w:val="center"/>
          </w:tcPr>
          <w:p w14:paraId="5837521F" w14:textId="742ABEEB" w:rsidR="00AE0108" w:rsidRPr="00AE0108" w:rsidRDefault="00AE0108" w:rsidP="00AE0108">
            <w:pPr>
              <w:rPr>
                <w:b/>
                <w:bCs/>
                <w:color w:val="FFFFFF" w:themeColor="background1"/>
                <w:sz w:val="28"/>
                <w:szCs w:val="28"/>
              </w:rPr>
            </w:pPr>
            <w:r w:rsidRPr="00A237D2">
              <w:rPr>
                <w:b/>
                <w:bCs/>
                <w:color w:val="FFFFFF" w:themeColor="background1"/>
                <w:sz w:val="28"/>
                <w:szCs w:val="28"/>
              </w:rPr>
              <w:t>Pr</w:t>
            </w:r>
            <w:r>
              <w:rPr>
                <w:b/>
                <w:bCs/>
                <w:color w:val="FFFFFF" w:themeColor="background1"/>
                <w:sz w:val="28"/>
                <w:szCs w:val="28"/>
              </w:rPr>
              <w:t>icing &amp; Distribution</w:t>
            </w:r>
            <w:r>
              <w:rPr>
                <w:b/>
                <w:bCs/>
                <w:color w:val="FFFFFF" w:themeColor="background1"/>
                <w:sz w:val="28"/>
                <w:szCs w:val="28"/>
                <w14:textOutline w14:w="9525" w14:cap="rnd" w14:cmpd="sng" w14:algn="ctr">
                  <w14:solidFill>
                    <w14:srgbClr w14:val="000000"/>
                  </w14:solidFill>
                  <w14:prstDash w14:val="solid"/>
                  <w14:bevel/>
                </w14:textOutline>
              </w:rPr>
              <w:t xml:space="preserve">                                                                                                                   </w:t>
            </w:r>
            <w:r w:rsidRPr="00B41634">
              <w:rPr>
                <w:rFonts w:ascii="Webdings" w:hAnsi="Webdings"/>
                <w:b/>
                <w:bCs/>
                <w:color w:val="00B050"/>
                <w:sz w:val="40"/>
                <w:szCs w:val="40"/>
                <w14:shadow w14:blurRad="50800" w14:dist="38100" w14:dir="2700000" w14:sx="100000" w14:sy="100000" w14:kx="0" w14:ky="0" w14:algn="tl">
                  <w14:srgbClr w14:val="000000">
                    <w14:alpha w14:val="60000"/>
                  </w14:srgbClr>
                </w14:shadow>
                <w14:textOutline w14:w="3175" w14:cap="rnd" w14:cmpd="sng" w14:algn="ctr">
                  <w14:solidFill>
                    <w14:srgbClr w14:val="000000"/>
                  </w14:solidFill>
                  <w14:prstDash w14:val="solid"/>
                  <w14:bevel/>
                </w14:textOutline>
              </w:rPr>
              <w:t>n</w:t>
            </w:r>
          </w:p>
        </w:tc>
      </w:tr>
      <w:tr w:rsidR="00AE0108" w14:paraId="26201652" w14:textId="77777777" w:rsidTr="00C8498D">
        <w:trPr>
          <w:trHeight w:val="3189"/>
        </w:trPr>
        <w:tc>
          <w:tcPr>
            <w:tcW w:w="21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6531"/>
          </w:tcPr>
          <w:p w14:paraId="596F5436" w14:textId="79E9517A" w:rsidR="00AE0108" w:rsidRPr="0003326C" w:rsidRDefault="00AE0108" w:rsidP="00AE0108">
            <w:pPr>
              <w:spacing w:before="120"/>
              <w:rPr>
                <w:b/>
                <w:bCs/>
                <w:color w:val="FFFFFF" w:themeColor="background1"/>
              </w:rPr>
            </w:pPr>
            <w:r w:rsidRPr="0003326C">
              <w:rPr>
                <w:b/>
                <w:bCs/>
                <w:color w:val="FFFFFF" w:themeColor="background1"/>
              </w:rPr>
              <w:t>What value does the product offer the customer?</w:t>
            </w:r>
          </w:p>
        </w:tc>
        <w:tc>
          <w:tcPr>
            <w:tcW w:w="775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DE7DF"/>
          </w:tcPr>
          <w:p w14:paraId="193813DD" w14:textId="72145778" w:rsidR="00A933BC" w:rsidRPr="0003326C" w:rsidRDefault="00A933BC" w:rsidP="00A933BC">
            <w:pPr>
              <w:spacing w:before="120" w:after="120"/>
            </w:pPr>
            <w:r w:rsidRPr="0003326C">
              <w:t xml:space="preserve">Our Immediate </w:t>
            </w:r>
            <w:r w:rsidR="00273579" w:rsidRPr="0003326C">
              <w:t>Care Plan &amp; Deferred Care Plan</w:t>
            </w:r>
            <w:r w:rsidRPr="0003326C">
              <w:t xml:space="preserve"> produc</w:t>
            </w:r>
            <w:r w:rsidR="00273579" w:rsidRPr="0003326C">
              <w:t>ts</w:t>
            </w:r>
            <w:r w:rsidRPr="0003326C">
              <w:t xml:space="preserve"> </w:t>
            </w:r>
            <w:r w:rsidR="00273579" w:rsidRPr="0003326C">
              <w:t>are</w:t>
            </w:r>
            <w:r w:rsidRPr="0003326C">
              <w:t xml:space="preserve"> designed to meet the fair value requirements of our target market through the provision of a regular payment to the annuitant’s desired care home or care provider to cover all, or part, of their costs for the duration of their care. The premium payable depends on a number of </w:t>
            </w:r>
            <w:proofErr w:type="gramStart"/>
            <w:r w:rsidRPr="0003326C">
              <w:t>factors;</w:t>
            </w:r>
            <w:proofErr w:type="gramEnd"/>
            <w:r w:rsidRPr="0003326C">
              <w:t xml:space="preserve"> including:</w:t>
            </w:r>
          </w:p>
          <w:p w14:paraId="175EB624" w14:textId="77777777" w:rsidR="00A933BC" w:rsidRPr="0003326C" w:rsidRDefault="00A933BC" w:rsidP="00A933BC">
            <w:pPr>
              <w:pStyle w:val="ListParagraph"/>
              <w:numPr>
                <w:ilvl w:val="0"/>
                <w:numId w:val="4"/>
              </w:numPr>
              <w:ind w:left="311"/>
            </w:pPr>
            <w:r w:rsidRPr="0003326C">
              <w:t>Deferment Period selected</w:t>
            </w:r>
          </w:p>
          <w:p w14:paraId="277E470A" w14:textId="77777777" w:rsidR="00A933BC" w:rsidRPr="0003326C" w:rsidRDefault="00A933BC" w:rsidP="00A933BC">
            <w:pPr>
              <w:pStyle w:val="ListParagraph"/>
              <w:numPr>
                <w:ilvl w:val="0"/>
                <w:numId w:val="4"/>
              </w:numPr>
              <w:ind w:left="311"/>
            </w:pPr>
            <w:r w:rsidRPr="0003326C">
              <w:t>Whether a level or increasing annuity is selected</w:t>
            </w:r>
          </w:p>
          <w:p w14:paraId="32781ACF" w14:textId="77777777" w:rsidR="00A933BC" w:rsidRPr="0003326C" w:rsidRDefault="00A933BC" w:rsidP="00A933BC">
            <w:pPr>
              <w:pStyle w:val="ListParagraph"/>
              <w:numPr>
                <w:ilvl w:val="0"/>
                <w:numId w:val="4"/>
              </w:numPr>
              <w:ind w:left="311"/>
            </w:pPr>
            <w:r w:rsidRPr="0003326C">
              <w:t>Life expectancy</w:t>
            </w:r>
          </w:p>
          <w:p w14:paraId="1EFE8AD0" w14:textId="3433C2F5" w:rsidR="00AE0108" w:rsidRPr="0003326C" w:rsidRDefault="00A933BC" w:rsidP="00C8498D">
            <w:pPr>
              <w:pStyle w:val="ListParagraph"/>
              <w:numPr>
                <w:ilvl w:val="0"/>
                <w:numId w:val="4"/>
              </w:numPr>
              <w:ind w:left="311"/>
            </w:pPr>
            <w:r w:rsidRPr="0003326C">
              <w:t xml:space="preserve">Capital Protection level selected; either short-term, long-term or both available </w:t>
            </w:r>
          </w:p>
        </w:tc>
      </w:tr>
      <w:tr w:rsidR="007E0BD9" w14:paraId="34BDBE3A" w14:textId="77777777" w:rsidTr="00402AF7">
        <w:tc>
          <w:tcPr>
            <w:tcW w:w="21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6531"/>
          </w:tcPr>
          <w:p w14:paraId="3B865A93" w14:textId="378B6AA5" w:rsidR="007E0BD9" w:rsidRPr="00D50EC1" w:rsidRDefault="007E0BD9" w:rsidP="007E0BD9">
            <w:pPr>
              <w:spacing w:before="120"/>
              <w:rPr>
                <w:b/>
                <w:bCs/>
                <w:color w:val="FFFFFF" w:themeColor="background1"/>
              </w:rPr>
            </w:pPr>
            <w:r w:rsidRPr="008D3386">
              <w:rPr>
                <w:b/>
                <w:bCs/>
                <w:color w:val="FFFFFF" w:themeColor="background1"/>
              </w:rPr>
              <w:t>What is the impact of distribution arrangements on the value of the product?</w:t>
            </w:r>
          </w:p>
        </w:tc>
        <w:tc>
          <w:tcPr>
            <w:tcW w:w="775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DE7DF"/>
          </w:tcPr>
          <w:p w14:paraId="2C4D8395" w14:textId="1736263C" w:rsidR="007E0BD9" w:rsidRDefault="007033CF" w:rsidP="00CC7A93">
            <w:pPr>
              <w:spacing w:before="120"/>
            </w:pPr>
            <w:r>
              <w:t xml:space="preserve">No </w:t>
            </w:r>
            <w:r w:rsidR="00AE3EB3" w:rsidRPr="009310A6">
              <w:t xml:space="preserve">commission payment is made by National Deposit Friendly Society Limited to </w:t>
            </w:r>
            <w:r>
              <w:t>any</w:t>
            </w:r>
            <w:r w:rsidR="00EA730E">
              <w:t xml:space="preserve"> of the</w:t>
            </w:r>
            <w:r w:rsidR="00AE3EB3" w:rsidRPr="009310A6">
              <w:t xml:space="preserve"> intermediar</w:t>
            </w:r>
            <w:r w:rsidR="00EA730E">
              <w:t>ies</w:t>
            </w:r>
            <w:r w:rsidR="00AE3EB3" w:rsidRPr="009310A6">
              <w:t xml:space="preserve">. </w:t>
            </w:r>
            <w:r w:rsidR="00D1102D">
              <w:t xml:space="preserve">A fee will be payable to the intermediary from the annuitant for the services provided: this </w:t>
            </w:r>
            <w:r w:rsidR="00CC7A93">
              <w:t xml:space="preserve">will either be paid directly by the </w:t>
            </w:r>
            <w:proofErr w:type="gramStart"/>
            <w:r w:rsidR="00CC7A93">
              <w:t>annuitant, or</w:t>
            </w:r>
            <w:proofErr w:type="gramEnd"/>
            <w:r w:rsidR="00CC7A93">
              <w:t xml:space="preserve"> can be facilitated by </w:t>
            </w:r>
            <w:r w:rsidR="00CC7A93" w:rsidRPr="009310A6">
              <w:t>National Deposit Friendly Society Limited</w:t>
            </w:r>
            <w:r w:rsidR="00CC7A93">
              <w:t>.</w:t>
            </w:r>
          </w:p>
        </w:tc>
      </w:tr>
      <w:tr w:rsidR="001E0460" w14:paraId="3F7CC84E" w14:textId="77777777" w:rsidTr="000B396A">
        <w:trPr>
          <w:trHeight w:val="3357"/>
        </w:trPr>
        <w:tc>
          <w:tcPr>
            <w:tcW w:w="21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6531"/>
          </w:tcPr>
          <w:p w14:paraId="31C04EA4" w14:textId="0840632F" w:rsidR="001E0460" w:rsidRPr="0003326C" w:rsidRDefault="001E0460" w:rsidP="001E0460">
            <w:pPr>
              <w:spacing w:before="120"/>
              <w:rPr>
                <w:b/>
                <w:bCs/>
                <w:color w:val="FFFFFF" w:themeColor="background1"/>
              </w:rPr>
            </w:pPr>
            <w:r w:rsidRPr="0003326C">
              <w:rPr>
                <w:b/>
                <w:bCs/>
                <w:color w:val="FFFFFF" w:themeColor="background1"/>
              </w:rPr>
              <w:t>How is the impact on value of the distribution arrangements assessed and monitored?</w:t>
            </w:r>
          </w:p>
        </w:tc>
        <w:tc>
          <w:tcPr>
            <w:tcW w:w="775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DE7DF"/>
          </w:tcPr>
          <w:p w14:paraId="5C0E3EE1" w14:textId="77777777" w:rsidR="00FE3AC5" w:rsidRPr="0003326C" w:rsidRDefault="00FE3AC5" w:rsidP="00FE3AC5">
            <w:pPr>
              <w:spacing w:before="120"/>
            </w:pPr>
            <w:r w:rsidRPr="0003326C">
              <w:t>The distribution channels used were identified as suitable on, and after, product launch based on the target market, our distribution strategy and the distribution strategy of the identified distributor. Due to the complex nature of the product and the potentially large premiums payable our distribution strategy insists on only allowing suitably qualified independent financial advisers, i.e. those with CF8 qualifications, to advise customers on these products. We do not accept any non-advised business.</w:t>
            </w:r>
          </w:p>
          <w:p w14:paraId="3995B63B" w14:textId="719228EF" w:rsidR="001E0460" w:rsidRPr="0003326C" w:rsidRDefault="00FE3AC5" w:rsidP="00FE3AC5">
            <w:pPr>
              <w:spacing w:before="120"/>
            </w:pPr>
            <w:r w:rsidRPr="0003326C">
              <w:t xml:space="preserve">All distributors are monitored on an on-going basis via </w:t>
            </w:r>
            <w:r w:rsidR="00FE18F0">
              <w:t>periodic</w:t>
            </w:r>
            <w:r w:rsidRPr="0003326C">
              <w:t xml:space="preserve"> due diligence checks, complaints root cause analysis, regular interactions and meetings, and general market commentary. </w:t>
            </w:r>
            <w:r w:rsidR="004F04F7" w:rsidRPr="00375F44">
              <w:t>There are also broker matrices in place to actively monitor performance and compliance.</w:t>
            </w:r>
          </w:p>
        </w:tc>
      </w:tr>
    </w:tbl>
    <w:p w14:paraId="13FDB90A" w14:textId="0E00A5A0" w:rsidR="00C36662" w:rsidRDefault="00C36662" w:rsidP="000E41E6">
      <w:pPr>
        <w:spacing w:after="0"/>
        <w:rPr>
          <w:sz w:val="16"/>
          <w:szCs w:val="16"/>
        </w:rPr>
      </w:pPr>
    </w:p>
    <w:p w14:paraId="7B3AB8AD" w14:textId="77777777" w:rsidR="00435525" w:rsidRDefault="00435525" w:rsidP="000E41E6">
      <w:pPr>
        <w:spacing w:after="0"/>
        <w:rPr>
          <w:sz w:val="16"/>
          <w:szCs w:val="16"/>
        </w:rPr>
      </w:pPr>
    </w:p>
    <w:p w14:paraId="220B78C8" w14:textId="77777777" w:rsidR="00435525" w:rsidRDefault="00435525" w:rsidP="000E41E6">
      <w:pPr>
        <w:spacing w:after="0"/>
        <w:rPr>
          <w:sz w:val="16"/>
          <w:szCs w:val="16"/>
        </w:rPr>
      </w:pPr>
    </w:p>
    <w:tbl>
      <w:tblPr>
        <w:tblStyle w:val="TableGrid"/>
        <w:tblW w:w="0" w:type="auto"/>
        <w:tblLook w:val="04A0" w:firstRow="1" w:lastRow="0" w:firstColumn="1" w:lastColumn="0" w:noHBand="0" w:noVBand="1"/>
      </w:tblPr>
      <w:tblGrid>
        <w:gridCol w:w="2120"/>
        <w:gridCol w:w="7756"/>
      </w:tblGrid>
      <w:tr w:rsidR="00072C90" w14:paraId="615A6F42" w14:textId="77777777" w:rsidTr="00402AF7">
        <w:trPr>
          <w:trHeight w:hRule="exact" w:val="628"/>
        </w:trPr>
        <w:tc>
          <w:tcPr>
            <w:tcW w:w="9876"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6531"/>
            <w:vAlign w:val="center"/>
          </w:tcPr>
          <w:p w14:paraId="63A8E4B2" w14:textId="34726FFB" w:rsidR="00072C90" w:rsidRPr="006B24CA" w:rsidRDefault="00072C90" w:rsidP="006B24CA">
            <w:pPr>
              <w:rPr>
                <w:b/>
                <w:bCs/>
                <w:color w:val="FFFFFF" w:themeColor="background1"/>
                <w:sz w:val="28"/>
                <w:szCs w:val="28"/>
              </w:rPr>
            </w:pPr>
            <w:r w:rsidRPr="00A237D2">
              <w:rPr>
                <w:b/>
                <w:bCs/>
                <w:color w:val="FFFFFF" w:themeColor="background1"/>
                <w:sz w:val="28"/>
                <w:szCs w:val="28"/>
              </w:rPr>
              <w:lastRenderedPageBreak/>
              <w:t>Pr</w:t>
            </w:r>
            <w:r>
              <w:rPr>
                <w:b/>
                <w:bCs/>
                <w:color w:val="FFFFFF" w:themeColor="background1"/>
                <w:sz w:val="28"/>
                <w:szCs w:val="28"/>
              </w:rPr>
              <w:t>oduct Reviews</w:t>
            </w:r>
            <w:r w:rsidRPr="006B24CA">
              <w:rPr>
                <w:b/>
                <w:bCs/>
                <w:color w:val="FFFFFF" w:themeColor="background1"/>
                <w:sz w:val="28"/>
                <w:szCs w:val="28"/>
              </w:rPr>
              <w:t xml:space="preserve">                                                                                       </w:t>
            </w:r>
            <w:r w:rsidR="000E41E6" w:rsidRPr="006B24CA">
              <w:rPr>
                <w:b/>
                <w:bCs/>
                <w:color w:val="FFFFFF" w:themeColor="background1"/>
                <w:sz w:val="28"/>
                <w:szCs w:val="28"/>
              </w:rPr>
              <w:t xml:space="preserve">          </w:t>
            </w:r>
            <w:r w:rsidRPr="006B24CA">
              <w:rPr>
                <w:b/>
                <w:bCs/>
                <w:color w:val="FFFFFF" w:themeColor="background1"/>
                <w:sz w:val="28"/>
                <w:szCs w:val="28"/>
              </w:rPr>
              <w:t xml:space="preserve">                   </w:t>
            </w:r>
            <w:r w:rsidR="006B24CA">
              <w:rPr>
                <w:b/>
                <w:bCs/>
                <w:color w:val="FFFFFF" w:themeColor="background1"/>
                <w:sz w:val="28"/>
                <w:szCs w:val="28"/>
              </w:rPr>
              <w:t xml:space="preserve"> </w:t>
            </w:r>
            <w:r w:rsidRPr="006B24CA">
              <w:rPr>
                <w:b/>
                <w:bCs/>
                <w:color w:val="FFFFFF" w:themeColor="background1"/>
                <w:sz w:val="28"/>
                <w:szCs w:val="28"/>
              </w:rPr>
              <w:t xml:space="preserve">        </w:t>
            </w:r>
            <w:r w:rsidR="006B24CA" w:rsidRPr="00B41634">
              <w:rPr>
                <w:rFonts w:ascii="Webdings" w:hAnsi="Webdings"/>
                <w:b/>
                <w:bCs/>
                <w:color w:val="00B050"/>
                <w:sz w:val="40"/>
                <w:szCs w:val="40"/>
                <w14:shadow w14:blurRad="50800" w14:dist="38100" w14:dir="2700000" w14:sx="100000" w14:sy="100000" w14:kx="0" w14:ky="0" w14:algn="tl">
                  <w14:srgbClr w14:val="000000">
                    <w14:alpha w14:val="60000"/>
                  </w14:srgbClr>
                </w14:shadow>
                <w14:textOutline w14:w="3175" w14:cap="rnd" w14:cmpd="sng" w14:algn="ctr">
                  <w14:solidFill>
                    <w14:srgbClr w14:val="000000"/>
                  </w14:solidFill>
                  <w14:prstDash w14:val="solid"/>
                  <w14:bevel/>
                </w14:textOutline>
              </w:rPr>
              <w:t>n</w:t>
            </w:r>
          </w:p>
        </w:tc>
      </w:tr>
      <w:tr w:rsidR="007E0BD9" w14:paraId="73026E16" w14:textId="77777777" w:rsidTr="00F564F8">
        <w:trPr>
          <w:trHeight w:hRule="exact" w:val="1465"/>
        </w:trPr>
        <w:tc>
          <w:tcPr>
            <w:tcW w:w="21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6531"/>
          </w:tcPr>
          <w:p w14:paraId="118F1AA9" w14:textId="2B010BC4" w:rsidR="007E0BD9" w:rsidRPr="00D50EC1" w:rsidRDefault="007E0BD9" w:rsidP="007E0BD9">
            <w:pPr>
              <w:spacing w:before="120"/>
              <w:rPr>
                <w:b/>
                <w:bCs/>
                <w:color w:val="FFFFFF" w:themeColor="background1"/>
              </w:rPr>
            </w:pPr>
            <w:r w:rsidRPr="00D50EC1">
              <w:rPr>
                <w:b/>
                <w:bCs/>
                <w:color w:val="FFFFFF" w:themeColor="background1"/>
              </w:rPr>
              <w:t>What were the outcomes from the most recent product review?</w:t>
            </w:r>
          </w:p>
        </w:tc>
        <w:tc>
          <w:tcPr>
            <w:tcW w:w="775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DE7DF"/>
          </w:tcPr>
          <w:p w14:paraId="67AB96FE" w14:textId="2CDC8329" w:rsidR="007E0BD9" w:rsidRDefault="00E20DC2" w:rsidP="004A09A9">
            <w:pPr>
              <w:spacing w:before="120"/>
            </w:pPr>
            <w:r>
              <w:t xml:space="preserve">The main highlights from the </w:t>
            </w:r>
            <w:r w:rsidR="00AE72F3">
              <w:t>pos</w:t>
            </w:r>
            <w:r>
              <w:t>t</w:t>
            </w:r>
            <w:r w:rsidR="00AE72F3">
              <w:t>-launch</w:t>
            </w:r>
            <w:r>
              <w:t xml:space="preserve"> product review </w:t>
            </w:r>
            <w:r w:rsidR="00A2040B">
              <w:t>we</w:t>
            </w:r>
            <w:r>
              <w:t>re:</w:t>
            </w:r>
          </w:p>
          <w:p w14:paraId="49510B51" w14:textId="77777777" w:rsidR="00ED0CBB" w:rsidRDefault="00A2040B" w:rsidP="00ED0CBB">
            <w:pPr>
              <w:pStyle w:val="ListParagraph"/>
              <w:numPr>
                <w:ilvl w:val="0"/>
                <w:numId w:val="32"/>
              </w:numPr>
              <w:spacing w:before="120"/>
            </w:pPr>
            <w:r>
              <w:t xml:space="preserve">Our capital protection </w:t>
            </w:r>
            <w:r w:rsidR="006070C5">
              <w:t>offering was inconsistent with the market</w:t>
            </w:r>
          </w:p>
          <w:p w14:paraId="39FE7CB1" w14:textId="08766BF4" w:rsidR="006070C5" w:rsidRPr="00ED0CBB" w:rsidRDefault="006070C5" w:rsidP="00ED0CBB">
            <w:pPr>
              <w:pStyle w:val="ListParagraph"/>
              <w:numPr>
                <w:ilvl w:val="0"/>
                <w:numId w:val="32"/>
              </w:numPr>
              <w:spacing w:before="120"/>
            </w:pPr>
            <w:r>
              <w:t xml:space="preserve">The deferred periods we offered </w:t>
            </w:r>
            <w:r w:rsidR="00F564F8">
              <w:t>was limited compared with the market</w:t>
            </w:r>
          </w:p>
        </w:tc>
      </w:tr>
      <w:tr w:rsidR="007E0BD9" w14:paraId="21219D94" w14:textId="77777777" w:rsidTr="00D527EB">
        <w:trPr>
          <w:trHeight w:val="2883"/>
        </w:trPr>
        <w:tc>
          <w:tcPr>
            <w:tcW w:w="21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6531"/>
          </w:tcPr>
          <w:p w14:paraId="3F462F63" w14:textId="0EB8774C" w:rsidR="007E0BD9" w:rsidRPr="008D3386" w:rsidRDefault="007E0BD9" w:rsidP="007E0BD9">
            <w:pPr>
              <w:spacing w:before="120"/>
              <w:rPr>
                <w:b/>
                <w:bCs/>
                <w:color w:val="FFFFFF" w:themeColor="background1"/>
              </w:rPr>
            </w:pPr>
            <w:r w:rsidRPr="008D3386">
              <w:rPr>
                <w:b/>
                <w:bCs/>
                <w:color w:val="FFFFFF" w:themeColor="background1"/>
              </w:rPr>
              <w:t>What remedial actions were taken (or are being taken) following the outcomes from the most recent product review?</w:t>
            </w:r>
          </w:p>
        </w:tc>
        <w:tc>
          <w:tcPr>
            <w:tcW w:w="775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DE7DF"/>
          </w:tcPr>
          <w:p w14:paraId="308933F9" w14:textId="616D6358" w:rsidR="00A400DF" w:rsidRDefault="00A400DF" w:rsidP="00A400DF">
            <w:pPr>
              <w:spacing w:before="120" w:after="120"/>
            </w:pPr>
            <w:proofErr w:type="gramStart"/>
            <w:r>
              <w:t>In light of</w:t>
            </w:r>
            <w:proofErr w:type="gramEnd"/>
            <w:r>
              <w:t xml:space="preserve"> the observations from the product review</w:t>
            </w:r>
            <w:r w:rsidR="004E72AB">
              <w:t xml:space="preserve"> and market commentary</w:t>
            </w:r>
            <w:r>
              <w:t>, the following work was conducted:</w:t>
            </w:r>
          </w:p>
          <w:p w14:paraId="026BA4FC" w14:textId="54563BB0" w:rsidR="007E0BD9" w:rsidRDefault="00F564F8" w:rsidP="00ED0CBB">
            <w:pPr>
              <w:pStyle w:val="ListParagraph"/>
              <w:numPr>
                <w:ilvl w:val="0"/>
                <w:numId w:val="32"/>
              </w:numPr>
              <w:spacing w:before="120"/>
            </w:pPr>
            <w:r>
              <w:t xml:space="preserve">We amended our capital protection </w:t>
            </w:r>
            <w:r w:rsidR="007557B6">
              <w:t>to offer both a short-term and long-term capital protection option</w:t>
            </w:r>
            <w:r w:rsidR="00674AFB">
              <w:t xml:space="preserve">. </w:t>
            </w:r>
            <w:r w:rsidR="000E4276">
              <w:t>The short-term option provided a sliding scale of capital re</w:t>
            </w:r>
            <w:r w:rsidR="00DE65F2">
              <w:t>payment</w:t>
            </w:r>
            <w:r w:rsidR="000E4276">
              <w:t xml:space="preserve"> across the first 6 months of the policy, with the long-term option </w:t>
            </w:r>
            <w:r w:rsidR="00356378">
              <w:t xml:space="preserve">allowing for a fixed </w:t>
            </w:r>
            <w:r w:rsidR="00DE65F2">
              <w:t>percentage repayment of between 1% and 80%.</w:t>
            </w:r>
          </w:p>
          <w:p w14:paraId="0294CA4D" w14:textId="4A1212EA" w:rsidR="007557B6" w:rsidRPr="00ED0CBB" w:rsidRDefault="00DF13EA" w:rsidP="00ED0CBB">
            <w:pPr>
              <w:pStyle w:val="ListParagraph"/>
              <w:numPr>
                <w:ilvl w:val="0"/>
                <w:numId w:val="32"/>
              </w:numPr>
              <w:spacing w:before="120"/>
            </w:pPr>
            <w:r>
              <w:t>We increased the deferred periods allowed on our De</w:t>
            </w:r>
            <w:r w:rsidR="00CB3207">
              <w:t>ferred Care Plan to 1, 2, 3, 4 or 5 years.</w:t>
            </w:r>
          </w:p>
        </w:tc>
      </w:tr>
      <w:tr w:rsidR="007E0BD9" w14:paraId="6E4F0FA6" w14:textId="77777777" w:rsidTr="00D527EB">
        <w:trPr>
          <w:trHeight w:val="1835"/>
        </w:trPr>
        <w:tc>
          <w:tcPr>
            <w:tcW w:w="21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6531"/>
          </w:tcPr>
          <w:p w14:paraId="48E6E8BF" w14:textId="5E434582" w:rsidR="007E0BD9" w:rsidRPr="008D3386" w:rsidRDefault="007E0BD9" w:rsidP="007E0BD9">
            <w:pPr>
              <w:spacing w:before="120"/>
              <w:rPr>
                <w:b/>
                <w:bCs/>
                <w:color w:val="FFFFFF" w:themeColor="background1"/>
              </w:rPr>
            </w:pPr>
            <w:r w:rsidRPr="008D3386">
              <w:rPr>
                <w:b/>
                <w:bCs/>
                <w:color w:val="FFFFFF" w:themeColor="background1"/>
              </w:rPr>
              <w:t>Key commentary from most recent product review and remedial work taken since.</w:t>
            </w:r>
          </w:p>
        </w:tc>
        <w:tc>
          <w:tcPr>
            <w:tcW w:w="775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DE7DF"/>
          </w:tcPr>
          <w:p w14:paraId="5D7BB802" w14:textId="18D73AF2" w:rsidR="007E0BD9" w:rsidRPr="009310A6" w:rsidRDefault="00A116AA" w:rsidP="000F01CB">
            <w:pPr>
              <w:spacing w:before="120"/>
            </w:pPr>
            <w:r>
              <w:t xml:space="preserve">The actions noted above since the last product review have helped to create a product that provides </w:t>
            </w:r>
            <w:r w:rsidR="004F04F7">
              <w:t>even better</w:t>
            </w:r>
            <w:r>
              <w:t xml:space="preserve"> outcomes.</w:t>
            </w:r>
            <w:r w:rsidR="00DE65F2">
              <w:t xml:space="preserve"> These added options ensure that the product i</w:t>
            </w:r>
            <w:r w:rsidR="005C4EC1">
              <w:t>s available to more annuitants within the target market as it provides a more flexible and tailored approach to purchasing an annuity and thus makes sure the</w:t>
            </w:r>
            <w:r w:rsidR="00D527EB">
              <w:t xml:space="preserve"> product is suitable and appropriate for their financial needs, and the financial needs of their beneficiaries.</w:t>
            </w:r>
          </w:p>
        </w:tc>
      </w:tr>
    </w:tbl>
    <w:p w14:paraId="68F17A41" w14:textId="2867ABF3" w:rsidR="00AE2D73" w:rsidRDefault="00AE2D73" w:rsidP="00896EEF">
      <w:pPr>
        <w:spacing w:after="0"/>
        <w:rPr>
          <w:sz w:val="12"/>
          <w:szCs w:val="12"/>
        </w:rPr>
      </w:pPr>
    </w:p>
    <w:p w14:paraId="2C3C5D93" w14:textId="77777777" w:rsidR="00AE2D73" w:rsidRDefault="00AE2D73">
      <w:pPr>
        <w:rPr>
          <w:sz w:val="12"/>
          <w:szCs w:val="12"/>
        </w:rPr>
      </w:pPr>
      <w:r>
        <w:rPr>
          <w:sz w:val="12"/>
          <w:szCs w:val="12"/>
        </w:rPr>
        <w:br w:type="page"/>
      </w:r>
    </w:p>
    <w:p w14:paraId="3CA53178" w14:textId="77777777" w:rsidR="00C36662" w:rsidRPr="00010913" w:rsidRDefault="00C36662" w:rsidP="00896EEF">
      <w:pPr>
        <w:spacing w:after="0"/>
        <w:rPr>
          <w:sz w:val="12"/>
          <w:szCs w:val="12"/>
        </w:rPr>
      </w:pPr>
    </w:p>
    <w:tbl>
      <w:tblPr>
        <w:tblStyle w:val="TableGrid"/>
        <w:tblW w:w="0" w:type="auto"/>
        <w:tblLook w:val="04A0" w:firstRow="1" w:lastRow="0" w:firstColumn="1" w:lastColumn="0" w:noHBand="0" w:noVBand="1"/>
      </w:tblPr>
      <w:tblGrid>
        <w:gridCol w:w="2120"/>
        <w:gridCol w:w="7756"/>
      </w:tblGrid>
      <w:tr w:rsidR="00772281" w:rsidRPr="006B24CA" w14:paraId="30D434D6" w14:textId="77777777" w:rsidTr="00402AF7">
        <w:trPr>
          <w:trHeight w:hRule="exact" w:val="628"/>
        </w:trPr>
        <w:tc>
          <w:tcPr>
            <w:tcW w:w="9876"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6531"/>
            <w:vAlign w:val="center"/>
          </w:tcPr>
          <w:p w14:paraId="7C2BA134" w14:textId="47FA5090" w:rsidR="00772281" w:rsidRPr="006B24CA" w:rsidRDefault="00772281" w:rsidP="000F209B">
            <w:pPr>
              <w:rPr>
                <w:b/>
                <w:bCs/>
                <w:color w:val="FFFFFF" w:themeColor="background1"/>
                <w:sz w:val="28"/>
                <w:szCs w:val="28"/>
              </w:rPr>
            </w:pPr>
            <w:r>
              <w:rPr>
                <w:b/>
                <w:bCs/>
                <w:color w:val="FFFFFF" w:themeColor="background1"/>
                <w:sz w:val="28"/>
                <w:szCs w:val="28"/>
              </w:rPr>
              <w:t xml:space="preserve">Conclusion            </w:t>
            </w:r>
            <w:r w:rsidRPr="006B24CA">
              <w:rPr>
                <w:b/>
                <w:bCs/>
                <w:color w:val="FFFFFF" w:themeColor="background1"/>
                <w:sz w:val="28"/>
                <w:szCs w:val="28"/>
              </w:rPr>
              <w:t xml:space="preserve">                                                                                                                    </w:t>
            </w:r>
            <w:r>
              <w:rPr>
                <w:b/>
                <w:bCs/>
                <w:color w:val="FFFFFF" w:themeColor="background1"/>
                <w:sz w:val="28"/>
                <w:szCs w:val="28"/>
              </w:rPr>
              <w:t xml:space="preserve"> </w:t>
            </w:r>
            <w:r w:rsidRPr="006B24CA">
              <w:rPr>
                <w:b/>
                <w:bCs/>
                <w:color w:val="FFFFFF" w:themeColor="background1"/>
                <w:sz w:val="28"/>
                <w:szCs w:val="28"/>
              </w:rPr>
              <w:t xml:space="preserve">        </w:t>
            </w:r>
            <w:r w:rsidRPr="00B41634">
              <w:rPr>
                <w:rFonts w:ascii="Webdings" w:hAnsi="Webdings"/>
                <w:b/>
                <w:bCs/>
                <w:color w:val="00B050"/>
                <w:sz w:val="40"/>
                <w:szCs w:val="40"/>
                <w14:shadow w14:blurRad="50800" w14:dist="38100" w14:dir="2700000" w14:sx="100000" w14:sy="100000" w14:kx="0" w14:ky="0" w14:algn="tl">
                  <w14:srgbClr w14:val="000000">
                    <w14:alpha w14:val="60000"/>
                  </w14:srgbClr>
                </w14:shadow>
                <w14:textOutline w14:w="3175" w14:cap="rnd" w14:cmpd="sng" w14:algn="ctr">
                  <w14:solidFill>
                    <w14:srgbClr w14:val="000000"/>
                  </w14:solidFill>
                  <w14:prstDash w14:val="solid"/>
                  <w14:bevel/>
                </w14:textOutline>
              </w:rPr>
              <w:t>n</w:t>
            </w:r>
          </w:p>
        </w:tc>
      </w:tr>
      <w:tr w:rsidR="00772281" w:rsidRPr="002C5E68" w14:paraId="6052B6B9" w14:textId="77777777" w:rsidTr="00ED6ACC">
        <w:trPr>
          <w:trHeight w:hRule="exact" w:val="7318"/>
        </w:trPr>
        <w:tc>
          <w:tcPr>
            <w:tcW w:w="21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6531"/>
          </w:tcPr>
          <w:p w14:paraId="57FBD3C7" w14:textId="7341E296" w:rsidR="00772281" w:rsidRPr="0003326C" w:rsidRDefault="00772281" w:rsidP="00772281">
            <w:pPr>
              <w:spacing w:before="120"/>
              <w:rPr>
                <w:b/>
                <w:bCs/>
                <w:color w:val="FFFFFF" w:themeColor="background1"/>
              </w:rPr>
            </w:pPr>
            <w:r w:rsidRPr="0003326C">
              <w:rPr>
                <w:b/>
                <w:bCs/>
                <w:color w:val="FFFFFF" w:themeColor="background1"/>
              </w:rPr>
              <w:t>What conclusions can be reached?</w:t>
            </w:r>
          </w:p>
        </w:tc>
        <w:tc>
          <w:tcPr>
            <w:tcW w:w="775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DE7DF"/>
          </w:tcPr>
          <w:p w14:paraId="282C26BB" w14:textId="77777777" w:rsidR="00231E9F" w:rsidRDefault="00231E9F" w:rsidP="00231E9F">
            <w:pPr>
              <w:spacing w:before="120"/>
            </w:pPr>
            <w:r w:rsidRPr="00AC5B96">
              <w:t>Based on the analysis above and the supplementary work undertaken, we believe this product offers fair value to the customer. This conclusion is based on the following factors:</w:t>
            </w:r>
          </w:p>
          <w:p w14:paraId="40D6A12F" w14:textId="1280CC48" w:rsidR="00231E9F" w:rsidRDefault="00231E9F" w:rsidP="00231E9F">
            <w:pPr>
              <w:spacing w:before="120"/>
            </w:pPr>
            <w:r w:rsidRPr="00C357F7">
              <w:rPr>
                <w:b/>
                <w:bCs/>
              </w:rPr>
              <w:t>Products and Services Outcome:</w:t>
            </w:r>
            <w:r w:rsidRPr="00AC5B96">
              <w:t xml:space="preserve"> we have tailored the features of the product to coincide with the needs and</w:t>
            </w:r>
            <w:r>
              <w:t xml:space="preserve"> </w:t>
            </w:r>
            <w:r w:rsidRPr="00AC5B96">
              <w:t>expectations of our target market.</w:t>
            </w:r>
            <w:r w:rsidR="00875940">
              <w:t xml:space="preserve"> </w:t>
            </w:r>
            <w:r w:rsidR="00C545CD">
              <w:t>T</w:t>
            </w:r>
            <w:r w:rsidR="00875940">
              <w:t xml:space="preserve">he price is the main factor </w:t>
            </w:r>
            <w:r w:rsidR="00395F0A">
              <w:t>when determining purchasing the product</w:t>
            </w:r>
            <w:r w:rsidR="00A027CF">
              <w:t xml:space="preserve">, as the </w:t>
            </w:r>
            <w:r w:rsidR="00B703E5">
              <w:t xml:space="preserve">target market would have very limited requirements for ancillary benefits; we therefore ensured the product </w:t>
            </w:r>
            <w:r w:rsidR="006B4226">
              <w:t>did not contain any superfluous benefits that would inflate the price without necessarily providing better outcomes to the customer.</w:t>
            </w:r>
          </w:p>
          <w:p w14:paraId="04F26C55" w14:textId="4E2E1564" w:rsidR="00231E9F" w:rsidRDefault="00231E9F" w:rsidP="00231E9F">
            <w:pPr>
              <w:spacing w:before="120"/>
            </w:pPr>
            <w:r w:rsidRPr="00C357F7">
              <w:rPr>
                <w:b/>
                <w:bCs/>
              </w:rPr>
              <w:t>Price &amp; Value Outcome:</w:t>
            </w:r>
            <w:r w:rsidRPr="00AC5B96">
              <w:t xml:space="preserve"> we have costed it competitively in line with market standards and at an appropriate</w:t>
            </w:r>
            <w:r>
              <w:t xml:space="preserve"> </w:t>
            </w:r>
            <w:r w:rsidRPr="00AC5B96">
              <w:t>price for the benefits and product differentiators on offer.</w:t>
            </w:r>
            <w:r w:rsidR="00B97F34">
              <w:t xml:space="preserve"> We have included optional </w:t>
            </w:r>
            <w:r w:rsidR="00283337">
              <w:t>provisions</w:t>
            </w:r>
            <w:r w:rsidR="00581C19">
              <w:t xml:space="preserve">, such as the short-term or long-term capital protection, to ensure that policyholders and their beneficiaries </w:t>
            </w:r>
            <w:r w:rsidR="00AF342A">
              <w:t xml:space="preserve">are able to protect themselves </w:t>
            </w:r>
            <w:r w:rsidR="005E2E3E">
              <w:t xml:space="preserve">and retain some capital if the annuitant </w:t>
            </w:r>
            <w:r w:rsidR="009E6011">
              <w:t>dies earlier than expected.</w:t>
            </w:r>
          </w:p>
          <w:p w14:paraId="6332ADB4" w14:textId="77777777" w:rsidR="00231E9F" w:rsidRDefault="00231E9F" w:rsidP="00231E9F">
            <w:pPr>
              <w:spacing w:before="120" w:after="120"/>
            </w:pPr>
            <w:r w:rsidRPr="00C357F7">
              <w:rPr>
                <w:b/>
                <w:bCs/>
              </w:rPr>
              <w:t>Consumer Understanding Outcome</w:t>
            </w:r>
            <w:r w:rsidRPr="00AC5B96">
              <w:t xml:space="preserve">: we have reviewed </w:t>
            </w:r>
            <w:proofErr w:type="gramStart"/>
            <w:r w:rsidRPr="00AC5B96">
              <w:t>all of</w:t>
            </w:r>
            <w:proofErr w:type="gramEnd"/>
            <w:r w:rsidRPr="00AC5B96">
              <w:t xml:space="preserve"> our customer literature and communications to ensure they are easy to understand, jargon-free and presented in a user-friendly manner. This has been backed up by our communication testing results.</w:t>
            </w:r>
          </w:p>
          <w:p w14:paraId="6ED79A98" w14:textId="754AEB09" w:rsidR="00772281" w:rsidRPr="0003326C" w:rsidRDefault="00231E9F" w:rsidP="00231E9F">
            <w:r w:rsidRPr="0039208D">
              <w:rPr>
                <w:b/>
                <w:bCs/>
              </w:rPr>
              <w:t>Consumer Support Outcome:</w:t>
            </w:r>
            <w:r w:rsidRPr="0039208D">
              <w:t xml:space="preserve"> we have introduced</w:t>
            </w:r>
            <w:r w:rsidR="00782804">
              <w:t xml:space="preserve"> a dedicated</w:t>
            </w:r>
            <w:r w:rsidRPr="0039208D">
              <w:t xml:space="preserve"> Vulnerable Customers </w:t>
            </w:r>
            <w:r w:rsidR="00782804">
              <w:t>Advisor</w:t>
            </w:r>
            <w:r w:rsidRPr="0039208D">
              <w:t xml:space="preserve"> to assist any </w:t>
            </w:r>
            <w:r w:rsidR="00152243">
              <w:t>representatives of</w:t>
            </w:r>
            <w:r w:rsidR="00880237">
              <w:t xml:space="preserve"> the annuitant</w:t>
            </w:r>
            <w:r w:rsidRPr="0039208D">
              <w:t xml:space="preserve"> who require additional support due to any defined vulnerability.</w:t>
            </w:r>
            <w:r w:rsidR="0032410C">
              <w:t xml:space="preserve"> We have a dedicated </w:t>
            </w:r>
            <w:r w:rsidR="00ED6ACC">
              <w:t>customer- and broker-facing team dealing with this product who have the necessary knowledge and expertise to deal with all queries.</w:t>
            </w:r>
          </w:p>
        </w:tc>
      </w:tr>
    </w:tbl>
    <w:p w14:paraId="01DCC840" w14:textId="77777777" w:rsidR="00010913" w:rsidRDefault="00010913" w:rsidP="00010913">
      <w:pPr>
        <w:spacing w:after="0"/>
        <w:rPr>
          <w:sz w:val="16"/>
          <w:szCs w:val="16"/>
        </w:rPr>
      </w:pPr>
    </w:p>
    <w:p w14:paraId="281A9B97" w14:textId="77777777" w:rsidR="00AE2D73" w:rsidRDefault="00AE2D73" w:rsidP="0040211E">
      <w:pPr>
        <w:rPr>
          <w:sz w:val="16"/>
          <w:szCs w:val="16"/>
        </w:rPr>
      </w:pPr>
    </w:p>
    <w:p w14:paraId="0148A58A" w14:textId="77777777" w:rsidR="00AE2D73" w:rsidRDefault="00AE2D73" w:rsidP="0040211E">
      <w:pPr>
        <w:rPr>
          <w:sz w:val="16"/>
          <w:szCs w:val="16"/>
        </w:rPr>
      </w:pPr>
    </w:p>
    <w:p w14:paraId="2873E8A2" w14:textId="77777777" w:rsidR="00AE2D73" w:rsidRDefault="00AE2D73" w:rsidP="0040211E">
      <w:pPr>
        <w:rPr>
          <w:sz w:val="16"/>
          <w:szCs w:val="16"/>
        </w:rPr>
      </w:pPr>
    </w:p>
    <w:p w14:paraId="64C1C198" w14:textId="77777777" w:rsidR="00AE2D73" w:rsidRDefault="00AE2D73" w:rsidP="0040211E">
      <w:pPr>
        <w:rPr>
          <w:sz w:val="16"/>
          <w:szCs w:val="16"/>
        </w:rPr>
      </w:pPr>
    </w:p>
    <w:p w14:paraId="6CCB3157" w14:textId="77777777" w:rsidR="00AE2D73" w:rsidRDefault="00AE2D73" w:rsidP="0040211E">
      <w:pPr>
        <w:rPr>
          <w:sz w:val="16"/>
          <w:szCs w:val="16"/>
        </w:rPr>
      </w:pPr>
    </w:p>
    <w:p w14:paraId="4A74C592" w14:textId="77777777" w:rsidR="00AE2D73" w:rsidRDefault="00AE2D73" w:rsidP="0040211E">
      <w:pPr>
        <w:rPr>
          <w:sz w:val="16"/>
          <w:szCs w:val="16"/>
        </w:rPr>
      </w:pPr>
    </w:p>
    <w:p w14:paraId="47C0C34B" w14:textId="77777777" w:rsidR="00AE2D73" w:rsidRDefault="00AE2D73" w:rsidP="0040211E">
      <w:pPr>
        <w:rPr>
          <w:sz w:val="16"/>
          <w:szCs w:val="16"/>
        </w:rPr>
      </w:pPr>
    </w:p>
    <w:p w14:paraId="2A764910" w14:textId="77777777" w:rsidR="00AE2D73" w:rsidRDefault="00AE2D73" w:rsidP="0040211E">
      <w:pPr>
        <w:rPr>
          <w:sz w:val="16"/>
          <w:szCs w:val="16"/>
        </w:rPr>
      </w:pPr>
    </w:p>
    <w:p w14:paraId="5016C2A8" w14:textId="77777777" w:rsidR="00AE2D73" w:rsidRDefault="00AE2D73" w:rsidP="0040211E">
      <w:pPr>
        <w:rPr>
          <w:sz w:val="16"/>
          <w:szCs w:val="16"/>
        </w:rPr>
      </w:pPr>
    </w:p>
    <w:p w14:paraId="0A95F5B4" w14:textId="77777777" w:rsidR="00AE2D73" w:rsidRDefault="00AE2D73" w:rsidP="0040211E">
      <w:pPr>
        <w:rPr>
          <w:sz w:val="16"/>
          <w:szCs w:val="16"/>
        </w:rPr>
      </w:pPr>
    </w:p>
    <w:p w14:paraId="2DD1E2E8" w14:textId="77777777" w:rsidR="00AE2D73" w:rsidRDefault="00AE2D73" w:rsidP="0040211E">
      <w:pPr>
        <w:rPr>
          <w:sz w:val="16"/>
          <w:szCs w:val="16"/>
        </w:rPr>
      </w:pPr>
    </w:p>
    <w:p w14:paraId="16992468" w14:textId="77777777" w:rsidR="00AE2D73" w:rsidRDefault="00AE2D73" w:rsidP="0040211E">
      <w:pPr>
        <w:rPr>
          <w:sz w:val="16"/>
          <w:szCs w:val="16"/>
        </w:rPr>
      </w:pPr>
    </w:p>
    <w:p w14:paraId="548482CF" w14:textId="77777777" w:rsidR="00ED6ACC" w:rsidRDefault="00ED6ACC" w:rsidP="0040211E">
      <w:pPr>
        <w:rPr>
          <w:sz w:val="16"/>
          <w:szCs w:val="16"/>
        </w:rPr>
      </w:pPr>
    </w:p>
    <w:p w14:paraId="4FFC0A8C" w14:textId="77777777" w:rsidR="00AE2D73" w:rsidRDefault="00AE2D73" w:rsidP="0040211E">
      <w:pPr>
        <w:rPr>
          <w:sz w:val="16"/>
          <w:szCs w:val="16"/>
        </w:rPr>
      </w:pPr>
    </w:p>
    <w:p w14:paraId="545C3057" w14:textId="4DB98B39" w:rsidR="00413DB9" w:rsidRPr="0040211E" w:rsidRDefault="0040211E" w:rsidP="0040211E">
      <w:pPr>
        <w:rPr>
          <w:sz w:val="16"/>
          <w:szCs w:val="16"/>
        </w:rPr>
      </w:pPr>
      <w:r w:rsidRPr="0040211E">
        <w:rPr>
          <w:sz w:val="16"/>
          <w:szCs w:val="16"/>
        </w:rPr>
        <w:t>National Friendly is a trading name of National Deposit Friendly Society Limited. Registered office: 11-12 Queen Square, Bristol BS1 4NT. Registered in England and Wales no. 369F. National Deposit Friendly Society Limited is authorised by the Prudential Regulation Authority and regulated by the Financial Conduct Authority and the Prudential Regulation Authority. Our Financial Services Register number is 110008. You can check this at: https://register.fca.org.uk. National Deposit Friendly Society Limited is covered by the Financial Services Compensation Scheme and Financial Ombudsman Service.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Pr="0040211E">
        <w:rPr>
          <w:sz w:val="16"/>
          <w:szCs w:val="16"/>
        </w:rPr>
        <w:t xml:space="preserve">FVA </w:t>
      </w:r>
      <w:r w:rsidR="0003326C">
        <w:rPr>
          <w:sz w:val="16"/>
          <w:szCs w:val="16"/>
        </w:rPr>
        <w:t>A</w:t>
      </w:r>
      <w:r w:rsidRPr="0040211E">
        <w:rPr>
          <w:sz w:val="16"/>
          <w:szCs w:val="16"/>
        </w:rPr>
        <w:t xml:space="preserve"> </w:t>
      </w:r>
      <w:r>
        <w:rPr>
          <w:sz w:val="16"/>
          <w:szCs w:val="16"/>
        </w:rPr>
        <w:t>1</w:t>
      </w:r>
      <w:r w:rsidR="00A14D93">
        <w:rPr>
          <w:sz w:val="16"/>
          <w:szCs w:val="16"/>
        </w:rPr>
        <w:t>1</w:t>
      </w:r>
      <w:r w:rsidRPr="0040211E">
        <w:rPr>
          <w:sz w:val="16"/>
          <w:szCs w:val="16"/>
        </w:rPr>
        <w:t>.2</w:t>
      </w:r>
      <w:r>
        <w:rPr>
          <w:sz w:val="16"/>
          <w:szCs w:val="16"/>
        </w:rPr>
        <w:t>4</w:t>
      </w:r>
    </w:p>
    <w:sectPr w:rsidR="00413DB9" w:rsidRPr="0040211E" w:rsidSect="00A2017F">
      <w:pgSz w:w="11906" w:h="16838"/>
      <w:pgMar w:top="709" w:right="992" w:bottom="851" w:left="992" w:header="709" w:footer="2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2B1CD" w14:textId="77777777" w:rsidR="00480D5C" w:rsidRDefault="00480D5C" w:rsidP="0097291C">
      <w:pPr>
        <w:spacing w:after="0" w:line="240" w:lineRule="auto"/>
      </w:pPr>
      <w:r>
        <w:separator/>
      </w:r>
    </w:p>
  </w:endnote>
  <w:endnote w:type="continuationSeparator" w:id="0">
    <w:p w14:paraId="471985FB" w14:textId="77777777" w:rsidR="00480D5C" w:rsidRDefault="00480D5C" w:rsidP="00972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sap">
    <w:altName w:val="Asap"/>
    <w:panose1 w:val="020F0504030202060203"/>
    <w:charset w:val="00"/>
    <w:family w:val="swiss"/>
    <w:notTrueType/>
    <w:pitch w:val="variable"/>
    <w:sig w:usb0="A00000FF" w:usb1="5000207B" w:usb2="00000000" w:usb3="00000000" w:csb0="00000193" w:csb1="00000000"/>
  </w:font>
  <w:font w:name="Webdings">
    <w:panose1 w:val="05030102010509060703"/>
    <w:charset w:val="4D"/>
    <w:family w:val="decorative"/>
    <w:pitch w:val="variable"/>
    <w:sig w:usb0="00000003" w:usb1="00000000" w:usb2="00000000" w:usb3="00000000" w:csb0="8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5744547"/>
      <w:docPartObj>
        <w:docPartGallery w:val="Page Numbers (Bottom of Page)"/>
        <w:docPartUnique/>
      </w:docPartObj>
    </w:sdtPr>
    <w:sdtEndPr>
      <w:rPr>
        <w:sz w:val="16"/>
        <w:szCs w:val="16"/>
      </w:rPr>
    </w:sdtEndPr>
    <w:sdtContent>
      <w:p w14:paraId="4A19A6A9" w14:textId="3BC0A9B5" w:rsidR="00D76426" w:rsidRPr="00D4450B" w:rsidRDefault="00C55152" w:rsidP="00F741E0">
        <w:pPr>
          <w:pStyle w:val="Footer"/>
          <w:jc w:val="right"/>
          <w:rPr>
            <w:sz w:val="16"/>
            <w:szCs w:val="16"/>
          </w:rPr>
        </w:pPr>
        <w:r>
          <w:rPr>
            <w:sz w:val="16"/>
            <w:szCs w:val="16"/>
          </w:rPr>
          <w:t xml:space="preserve">Fair Value Assessment </w:t>
        </w:r>
        <w:proofErr w:type="gramStart"/>
        <w:r>
          <w:rPr>
            <w:sz w:val="16"/>
            <w:szCs w:val="16"/>
          </w:rPr>
          <w:t xml:space="preserve">2024 </w:t>
        </w:r>
        <w:r w:rsidR="00D4450B" w:rsidRPr="00D4450B">
          <w:rPr>
            <w:sz w:val="16"/>
            <w:szCs w:val="16"/>
          </w:rPr>
          <w:t xml:space="preserve"> </w:t>
        </w:r>
        <w:r w:rsidR="00F741E0">
          <w:rPr>
            <w:sz w:val="16"/>
            <w:szCs w:val="16"/>
          </w:rPr>
          <w:t>–</w:t>
        </w:r>
        <w:proofErr w:type="gramEnd"/>
        <w:r w:rsidR="00D4450B" w:rsidRPr="00D4450B">
          <w:rPr>
            <w:sz w:val="16"/>
            <w:szCs w:val="16"/>
          </w:rPr>
          <w:t xml:space="preserve"> </w:t>
        </w:r>
        <w:r w:rsidR="00D76426" w:rsidRPr="00D4450B">
          <w:rPr>
            <w:sz w:val="16"/>
            <w:szCs w:val="16"/>
          </w:rPr>
          <w:fldChar w:fldCharType="begin"/>
        </w:r>
        <w:r w:rsidR="00D76426" w:rsidRPr="00D4450B">
          <w:rPr>
            <w:sz w:val="16"/>
            <w:szCs w:val="16"/>
          </w:rPr>
          <w:instrText>PAGE   \* MERGEFORMAT</w:instrText>
        </w:r>
        <w:r w:rsidR="00D76426" w:rsidRPr="00D4450B">
          <w:rPr>
            <w:sz w:val="16"/>
            <w:szCs w:val="16"/>
          </w:rPr>
          <w:fldChar w:fldCharType="separate"/>
        </w:r>
        <w:r w:rsidR="00D76426" w:rsidRPr="00D4450B">
          <w:rPr>
            <w:sz w:val="16"/>
            <w:szCs w:val="16"/>
          </w:rPr>
          <w:t>2</w:t>
        </w:r>
        <w:r w:rsidR="00D76426" w:rsidRPr="00D4450B">
          <w:rPr>
            <w:sz w:val="16"/>
            <w:szCs w:val="16"/>
          </w:rPr>
          <w:fldChar w:fldCharType="end"/>
        </w:r>
      </w:p>
    </w:sdtContent>
  </w:sdt>
  <w:p w14:paraId="3EFF7232" w14:textId="77777777" w:rsidR="00EF1C98" w:rsidRDefault="00EF1C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9397364"/>
      <w:docPartObj>
        <w:docPartGallery w:val="Page Numbers (Bottom of Page)"/>
        <w:docPartUnique/>
      </w:docPartObj>
    </w:sdtPr>
    <w:sdtEndPr>
      <w:rPr>
        <w:sz w:val="16"/>
        <w:szCs w:val="16"/>
      </w:rPr>
    </w:sdtEndPr>
    <w:sdtContent>
      <w:p w14:paraId="3F2BDF16" w14:textId="5E2E2824" w:rsidR="0028494B" w:rsidRPr="00B124A7" w:rsidRDefault="0028494B">
        <w:pPr>
          <w:pStyle w:val="Footer"/>
          <w:rPr>
            <w:sz w:val="16"/>
            <w:szCs w:val="16"/>
          </w:rPr>
        </w:pPr>
        <w:r w:rsidRPr="00B124A7">
          <w:rPr>
            <w:sz w:val="16"/>
            <w:szCs w:val="16"/>
          </w:rPr>
          <w:fldChar w:fldCharType="begin"/>
        </w:r>
        <w:r w:rsidRPr="00B124A7">
          <w:rPr>
            <w:sz w:val="16"/>
            <w:szCs w:val="16"/>
          </w:rPr>
          <w:instrText>PAGE   \* MERGEFORMAT</w:instrText>
        </w:r>
        <w:r w:rsidRPr="00B124A7">
          <w:rPr>
            <w:sz w:val="16"/>
            <w:szCs w:val="16"/>
          </w:rPr>
          <w:fldChar w:fldCharType="separate"/>
        </w:r>
        <w:r w:rsidRPr="00B124A7">
          <w:rPr>
            <w:sz w:val="16"/>
            <w:szCs w:val="16"/>
          </w:rPr>
          <w:t>2</w:t>
        </w:r>
        <w:r w:rsidRPr="00B124A7">
          <w:rPr>
            <w:sz w:val="16"/>
            <w:szCs w:val="16"/>
          </w:rPr>
          <w:fldChar w:fldCharType="end"/>
        </w:r>
        <w:r w:rsidRPr="00B124A7">
          <w:rPr>
            <w:sz w:val="16"/>
            <w:szCs w:val="16"/>
          </w:rPr>
          <w:t xml:space="preserve"> </w:t>
        </w:r>
        <w:r w:rsidR="00224F85" w:rsidRPr="00B124A7">
          <w:rPr>
            <w:sz w:val="16"/>
            <w:szCs w:val="16"/>
          </w:rPr>
          <w:t>–</w:t>
        </w:r>
        <w:r w:rsidRPr="00B124A7">
          <w:rPr>
            <w:sz w:val="16"/>
            <w:szCs w:val="16"/>
          </w:rPr>
          <w:t xml:space="preserve"> </w:t>
        </w:r>
        <w:r w:rsidR="00B124A7" w:rsidRPr="00B124A7">
          <w:rPr>
            <w:sz w:val="16"/>
            <w:szCs w:val="16"/>
          </w:rPr>
          <w:t>Fair Value Assessment 2024</w:t>
        </w:r>
      </w:p>
    </w:sdtContent>
  </w:sdt>
  <w:p w14:paraId="479DF7CA" w14:textId="77777777" w:rsidR="000B163A" w:rsidRDefault="000B1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B46C0" w14:textId="77777777" w:rsidR="00480D5C" w:rsidRDefault="00480D5C" w:rsidP="0097291C">
      <w:pPr>
        <w:spacing w:after="0" w:line="240" w:lineRule="auto"/>
      </w:pPr>
      <w:r>
        <w:separator/>
      </w:r>
    </w:p>
  </w:footnote>
  <w:footnote w:type="continuationSeparator" w:id="0">
    <w:p w14:paraId="14575805" w14:textId="77777777" w:rsidR="00480D5C" w:rsidRDefault="00480D5C" w:rsidP="009729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DEC867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6525F5"/>
    <w:multiLevelType w:val="hybridMultilevel"/>
    <w:tmpl w:val="C79C49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B04855"/>
    <w:multiLevelType w:val="hybridMultilevel"/>
    <w:tmpl w:val="C79C49F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4A2A48"/>
    <w:multiLevelType w:val="hybridMultilevel"/>
    <w:tmpl w:val="A6B4E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00217"/>
    <w:multiLevelType w:val="hybridMultilevel"/>
    <w:tmpl w:val="5CCC7582"/>
    <w:lvl w:ilvl="0" w:tplc="41B4FD02">
      <w:start w:val="1"/>
      <w:numFmt w:val="bullet"/>
      <w:lvlText w:val=""/>
      <w:lvlJc w:val="left"/>
      <w:pPr>
        <w:ind w:left="720" w:hanging="360"/>
      </w:pPr>
      <w:rPr>
        <w:rFonts w:ascii="Wingdings 2" w:hAnsi="Wingdings 2" w:cs="Wingdings 2" w:hint="default"/>
        <w:b/>
        <w:bCs/>
        <w:i w:val="0"/>
        <w:iCs w:val="0"/>
        <w:color w:val="FF0000"/>
        <w:position w:val="-6"/>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F0E1B47"/>
    <w:multiLevelType w:val="hybridMultilevel"/>
    <w:tmpl w:val="4810F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1337BA"/>
    <w:multiLevelType w:val="hybridMultilevel"/>
    <w:tmpl w:val="1C8C8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9C3E9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47E27A0"/>
    <w:multiLevelType w:val="hybridMultilevel"/>
    <w:tmpl w:val="A0CE7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EB126D"/>
    <w:multiLevelType w:val="hybridMultilevel"/>
    <w:tmpl w:val="B2944F86"/>
    <w:lvl w:ilvl="0" w:tplc="B50E806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125673"/>
    <w:multiLevelType w:val="hybridMultilevel"/>
    <w:tmpl w:val="9800B310"/>
    <w:lvl w:ilvl="0" w:tplc="FFFFFFFF">
      <w:start w:val="1"/>
      <w:numFmt w:val="lowerLetter"/>
      <w:lvlText w:val="%1)"/>
      <w:lvlJc w:val="left"/>
      <w:pPr>
        <w:ind w:left="833" w:hanging="360"/>
      </w:pPr>
    </w:lvl>
    <w:lvl w:ilvl="1" w:tplc="FFFFFFFF" w:tentative="1">
      <w:start w:val="1"/>
      <w:numFmt w:val="lowerLetter"/>
      <w:lvlText w:val="%2."/>
      <w:lvlJc w:val="left"/>
      <w:pPr>
        <w:ind w:left="1553" w:hanging="360"/>
      </w:pPr>
    </w:lvl>
    <w:lvl w:ilvl="2" w:tplc="FFFFFFFF" w:tentative="1">
      <w:start w:val="1"/>
      <w:numFmt w:val="lowerRoman"/>
      <w:lvlText w:val="%3."/>
      <w:lvlJc w:val="right"/>
      <w:pPr>
        <w:ind w:left="2273" w:hanging="180"/>
      </w:pPr>
    </w:lvl>
    <w:lvl w:ilvl="3" w:tplc="FFFFFFFF" w:tentative="1">
      <w:start w:val="1"/>
      <w:numFmt w:val="decimal"/>
      <w:lvlText w:val="%4."/>
      <w:lvlJc w:val="left"/>
      <w:pPr>
        <w:ind w:left="2993" w:hanging="360"/>
      </w:pPr>
    </w:lvl>
    <w:lvl w:ilvl="4" w:tplc="FFFFFFFF" w:tentative="1">
      <w:start w:val="1"/>
      <w:numFmt w:val="lowerLetter"/>
      <w:lvlText w:val="%5."/>
      <w:lvlJc w:val="left"/>
      <w:pPr>
        <w:ind w:left="3713" w:hanging="360"/>
      </w:pPr>
    </w:lvl>
    <w:lvl w:ilvl="5" w:tplc="FFFFFFFF" w:tentative="1">
      <w:start w:val="1"/>
      <w:numFmt w:val="lowerRoman"/>
      <w:lvlText w:val="%6."/>
      <w:lvlJc w:val="right"/>
      <w:pPr>
        <w:ind w:left="4433" w:hanging="180"/>
      </w:pPr>
    </w:lvl>
    <w:lvl w:ilvl="6" w:tplc="FFFFFFFF" w:tentative="1">
      <w:start w:val="1"/>
      <w:numFmt w:val="decimal"/>
      <w:lvlText w:val="%7."/>
      <w:lvlJc w:val="left"/>
      <w:pPr>
        <w:ind w:left="5153" w:hanging="360"/>
      </w:pPr>
    </w:lvl>
    <w:lvl w:ilvl="7" w:tplc="FFFFFFFF" w:tentative="1">
      <w:start w:val="1"/>
      <w:numFmt w:val="lowerLetter"/>
      <w:lvlText w:val="%8."/>
      <w:lvlJc w:val="left"/>
      <w:pPr>
        <w:ind w:left="5873" w:hanging="360"/>
      </w:pPr>
    </w:lvl>
    <w:lvl w:ilvl="8" w:tplc="FFFFFFFF" w:tentative="1">
      <w:start w:val="1"/>
      <w:numFmt w:val="lowerRoman"/>
      <w:lvlText w:val="%9."/>
      <w:lvlJc w:val="right"/>
      <w:pPr>
        <w:ind w:left="6593" w:hanging="180"/>
      </w:pPr>
    </w:lvl>
  </w:abstractNum>
  <w:abstractNum w:abstractNumId="11" w15:restartNumberingAfterBreak="0">
    <w:nsid w:val="2B493C9B"/>
    <w:multiLevelType w:val="hybridMultilevel"/>
    <w:tmpl w:val="9800B310"/>
    <w:lvl w:ilvl="0" w:tplc="08090017">
      <w:start w:val="1"/>
      <w:numFmt w:val="lowerLetter"/>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2" w15:restartNumberingAfterBreak="0">
    <w:nsid w:val="2D7E77EF"/>
    <w:multiLevelType w:val="hybridMultilevel"/>
    <w:tmpl w:val="AB880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817F4B"/>
    <w:multiLevelType w:val="hybridMultilevel"/>
    <w:tmpl w:val="557276FE"/>
    <w:lvl w:ilvl="0" w:tplc="EE86153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F51FE6"/>
    <w:multiLevelType w:val="hybridMultilevel"/>
    <w:tmpl w:val="97F8A610"/>
    <w:lvl w:ilvl="0" w:tplc="044E9982">
      <w:start w:val="1"/>
      <w:numFmt w:val="bullet"/>
      <w:lvlText w:val=""/>
      <w:lvlJc w:val="left"/>
      <w:pPr>
        <w:ind w:left="720" w:hanging="360"/>
      </w:pPr>
      <w:rPr>
        <w:rFonts w:ascii="Wingdings 2" w:hAnsi="Wingdings 2" w:cs="Wingdings 2" w:hint="default"/>
        <w:b/>
        <w:bCs/>
        <w:i w:val="0"/>
        <w:iCs w:val="0"/>
        <w:color w:val="FF0000"/>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71D09C2"/>
    <w:multiLevelType w:val="hybridMultilevel"/>
    <w:tmpl w:val="F484ECFE"/>
    <w:lvl w:ilvl="0" w:tplc="9934F870">
      <w:start w:val="1"/>
      <w:numFmt w:val="bullet"/>
      <w:lvlText w:val=""/>
      <w:lvlJc w:val="left"/>
      <w:pPr>
        <w:ind w:left="720" w:hanging="360"/>
      </w:pPr>
      <w:rPr>
        <w:rFonts w:ascii="Wingdings 2" w:hAnsi="Wingdings 2" w:cs="Wingdings 2" w:hint="default"/>
        <w:b/>
        <w:bCs/>
        <w:i w:val="0"/>
        <w:iCs w:val="0"/>
        <w:color w:val="00B050"/>
        <w:position w:val="-6"/>
        <w:sz w:val="28"/>
      </w:rPr>
    </w:lvl>
    <w:lvl w:ilvl="1" w:tplc="6632E840">
      <w:numFmt w:val="bullet"/>
      <w:lvlText w:val="•"/>
      <w:lvlJc w:val="left"/>
      <w:pPr>
        <w:ind w:left="1440" w:hanging="360"/>
      </w:pPr>
      <w:rPr>
        <w:rFonts w:ascii="Aptos" w:eastAsiaTheme="minorHAnsi" w:hAnsi="Apto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B4926EC"/>
    <w:multiLevelType w:val="hybridMultilevel"/>
    <w:tmpl w:val="7876C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445A11"/>
    <w:multiLevelType w:val="hybridMultilevel"/>
    <w:tmpl w:val="053AD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B5228D"/>
    <w:multiLevelType w:val="hybridMultilevel"/>
    <w:tmpl w:val="4C748250"/>
    <w:lvl w:ilvl="0" w:tplc="41B4FD02">
      <w:start w:val="1"/>
      <w:numFmt w:val="bullet"/>
      <w:lvlText w:val=""/>
      <w:lvlJc w:val="left"/>
      <w:pPr>
        <w:ind w:left="720" w:hanging="360"/>
      </w:pPr>
      <w:rPr>
        <w:rFonts w:ascii="Wingdings 2" w:hAnsi="Wingdings 2" w:cs="Wingdings 2" w:hint="default"/>
        <w:b/>
        <w:bCs/>
        <w:i w:val="0"/>
        <w:iCs w:val="0"/>
        <w:color w:val="FF0000"/>
        <w:position w:val="-6"/>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F910E3"/>
    <w:multiLevelType w:val="hybridMultilevel"/>
    <w:tmpl w:val="F7BC6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5EE4F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3867EBD"/>
    <w:multiLevelType w:val="hybridMultilevel"/>
    <w:tmpl w:val="4FCA783C"/>
    <w:lvl w:ilvl="0" w:tplc="5B72BBA4">
      <w:start w:val="1"/>
      <w:numFmt w:val="bullet"/>
      <w:lvlText w:val=""/>
      <w:lvlJc w:val="left"/>
      <w:pPr>
        <w:ind w:left="720" w:hanging="360"/>
      </w:pPr>
      <w:rPr>
        <w:rFonts w:ascii="Wingdings 2" w:hAnsi="Wingdings 2" w:cs="Wingdings 2" w:hint="default"/>
        <w:b/>
        <w:bCs/>
        <w:i w:val="0"/>
        <w:iCs w:val="0"/>
        <w:color w:val="FF0000"/>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88B0519"/>
    <w:multiLevelType w:val="hybridMultilevel"/>
    <w:tmpl w:val="85AA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4C67F3"/>
    <w:multiLevelType w:val="hybridMultilevel"/>
    <w:tmpl w:val="65000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6F5CB5"/>
    <w:multiLevelType w:val="hybridMultilevel"/>
    <w:tmpl w:val="CA0CB1D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5" w15:restartNumberingAfterBreak="0">
    <w:nsid w:val="60E916BB"/>
    <w:multiLevelType w:val="hybridMultilevel"/>
    <w:tmpl w:val="51C08A4C"/>
    <w:lvl w:ilvl="0" w:tplc="6632E840">
      <w:numFmt w:val="bullet"/>
      <w:lvlText w:val="•"/>
      <w:lvlJc w:val="left"/>
      <w:pPr>
        <w:ind w:left="144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9D7F81"/>
    <w:multiLevelType w:val="hybridMultilevel"/>
    <w:tmpl w:val="BB7AF0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8A54CEA"/>
    <w:multiLevelType w:val="hybridMultilevel"/>
    <w:tmpl w:val="FD32F55E"/>
    <w:lvl w:ilvl="0" w:tplc="6632E840">
      <w:numFmt w:val="bullet"/>
      <w:lvlText w:val="•"/>
      <w:lvlJc w:val="left"/>
      <w:pPr>
        <w:ind w:left="144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117CA9"/>
    <w:multiLevelType w:val="hybridMultilevel"/>
    <w:tmpl w:val="5AF87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B00BC0"/>
    <w:multiLevelType w:val="hybridMultilevel"/>
    <w:tmpl w:val="5352EBD0"/>
    <w:lvl w:ilvl="0" w:tplc="3E16630E">
      <w:start w:val="1"/>
      <w:numFmt w:val="bullet"/>
      <w:lvlText w:val=""/>
      <w:lvlJc w:val="left"/>
      <w:pPr>
        <w:ind w:left="862" w:hanging="360"/>
      </w:pPr>
      <w:rPr>
        <w:rFonts w:ascii="Symbol" w:hAnsi="Symbol" w:hint="default"/>
        <w:color w:val="auto"/>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0" w15:restartNumberingAfterBreak="0">
    <w:nsid w:val="74D309B6"/>
    <w:multiLevelType w:val="hybridMultilevel"/>
    <w:tmpl w:val="289A1894"/>
    <w:lvl w:ilvl="0" w:tplc="5C50E79A">
      <w:start w:val="1"/>
      <w:numFmt w:val="bullet"/>
      <w:lvlText w:val=""/>
      <w:lvlJc w:val="left"/>
      <w:pPr>
        <w:ind w:left="720" w:hanging="360"/>
      </w:pPr>
      <w:rPr>
        <w:rFonts w:ascii="Wingdings 2" w:hAnsi="Wingdings 2" w:cs="Wingdings 2" w:hint="default"/>
        <w:b/>
        <w:bCs/>
        <w:i w:val="0"/>
        <w:iCs w:val="0"/>
        <w:color w:val="00B050"/>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A939BA"/>
    <w:multiLevelType w:val="hybridMultilevel"/>
    <w:tmpl w:val="9800B310"/>
    <w:lvl w:ilvl="0" w:tplc="FFFFFFFF">
      <w:start w:val="1"/>
      <w:numFmt w:val="lowerLetter"/>
      <w:lvlText w:val="%1)"/>
      <w:lvlJc w:val="left"/>
      <w:pPr>
        <w:ind w:left="833" w:hanging="360"/>
      </w:pPr>
    </w:lvl>
    <w:lvl w:ilvl="1" w:tplc="FFFFFFFF" w:tentative="1">
      <w:start w:val="1"/>
      <w:numFmt w:val="lowerLetter"/>
      <w:lvlText w:val="%2."/>
      <w:lvlJc w:val="left"/>
      <w:pPr>
        <w:ind w:left="1553" w:hanging="360"/>
      </w:pPr>
    </w:lvl>
    <w:lvl w:ilvl="2" w:tplc="FFFFFFFF" w:tentative="1">
      <w:start w:val="1"/>
      <w:numFmt w:val="lowerRoman"/>
      <w:lvlText w:val="%3."/>
      <w:lvlJc w:val="right"/>
      <w:pPr>
        <w:ind w:left="2273" w:hanging="180"/>
      </w:pPr>
    </w:lvl>
    <w:lvl w:ilvl="3" w:tplc="FFFFFFFF" w:tentative="1">
      <w:start w:val="1"/>
      <w:numFmt w:val="decimal"/>
      <w:lvlText w:val="%4."/>
      <w:lvlJc w:val="left"/>
      <w:pPr>
        <w:ind w:left="2993" w:hanging="360"/>
      </w:pPr>
    </w:lvl>
    <w:lvl w:ilvl="4" w:tplc="FFFFFFFF" w:tentative="1">
      <w:start w:val="1"/>
      <w:numFmt w:val="lowerLetter"/>
      <w:lvlText w:val="%5."/>
      <w:lvlJc w:val="left"/>
      <w:pPr>
        <w:ind w:left="3713" w:hanging="360"/>
      </w:pPr>
    </w:lvl>
    <w:lvl w:ilvl="5" w:tplc="FFFFFFFF" w:tentative="1">
      <w:start w:val="1"/>
      <w:numFmt w:val="lowerRoman"/>
      <w:lvlText w:val="%6."/>
      <w:lvlJc w:val="right"/>
      <w:pPr>
        <w:ind w:left="4433" w:hanging="180"/>
      </w:pPr>
    </w:lvl>
    <w:lvl w:ilvl="6" w:tplc="FFFFFFFF" w:tentative="1">
      <w:start w:val="1"/>
      <w:numFmt w:val="decimal"/>
      <w:lvlText w:val="%7."/>
      <w:lvlJc w:val="left"/>
      <w:pPr>
        <w:ind w:left="5153" w:hanging="360"/>
      </w:pPr>
    </w:lvl>
    <w:lvl w:ilvl="7" w:tplc="FFFFFFFF" w:tentative="1">
      <w:start w:val="1"/>
      <w:numFmt w:val="lowerLetter"/>
      <w:lvlText w:val="%8."/>
      <w:lvlJc w:val="left"/>
      <w:pPr>
        <w:ind w:left="5873" w:hanging="360"/>
      </w:pPr>
    </w:lvl>
    <w:lvl w:ilvl="8" w:tplc="FFFFFFFF" w:tentative="1">
      <w:start w:val="1"/>
      <w:numFmt w:val="lowerRoman"/>
      <w:lvlText w:val="%9."/>
      <w:lvlJc w:val="right"/>
      <w:pPr>
        <w:ind w:left="6593" w:hanging="180"/>
      </w:pPr>
    </w:lvl>
  </w:abstractNum>
  <w:abstractNum w:abstractNumId="32" w15:restartNumberingAfterBreak="0">
    <w:nsid w:val="7B4B5B1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94171226">
    <w:abstractNumId w:val="3"/>
  </w:num>
  <w:num w:numId="2" w16cid:durableId="1068649487">
    <w:abstractNumId w:val="5"/>
  </w:num>
  <w:num w:numId="3" w16cid:durableId="409275199">
    <w:abstractNumId w:val="6"/>
  </w:num>
  <w:num w:numId="4" w16cid:durableId="1367485621">
    <w:abstractNumId w:val="19"/>
  </w:num>
  <w:num w:numId="5" w16cid:durableId="1198351008">
    <w:abstractNumId w:val="22"/>
  </w:num>
  <w:num w:numId="6" w16cid:durableId="698315265">
    <w:abstractNumId w:val="1"/>
  </w:num>
  <w:num w:numId="7" w16cid:durableId="434641122">
    <w:abstractNumId w:val="2"/>
  </w:num>
  <w:num w:numId="8" w16cid:durableId="176894828">
    <w:abstractNumId w:val="30"/>
  </w:num>
  <w:num w:numId="9" w16cid:durableId="1944343770">
    <w:abstractNumId w:val="28"/>
  </w:num>
  <w:num w:numId="10" w16cid:durableId="1701084285">
    <w:abstractNumId w:val="21"/>
  </w:num>
  <w:num w:numId="11" w16cid:durableId="1907380040">
    <w:abstractNumId w:val="14"/>
  </w:num>
  <w:num w:numId="12" w16cid:durableId="72505940">
    <w:abstractNumId w:val="15"/>
  </w:num>
  <w:num w:numId="13" w16cid:durableId="1628700999">
    <w:abstractNumId w:val="4"/>
  </w:num>
  <w:num w:numId="14" w16cid:durableId="1222717357">
    <w:abstractNumId w:val="18"/>
  </w:num>
  <w:num w:numId="15" w16cid:durableId="264120722">
    <w:abstractNumId w:val="13"/>
  </w:num>
  <w:num w:numId="16" w16cid:durableId="941499322">
    <w:abstractNumId w:val="26"/>
  </w:num>
  <w:num w:numId="17" w16cid:durableId="1582569327">
    <w:abstractNumId w:val="12"/>
  </w:num>
  <w:num w:numId="18" w16cid:durableId="1355837927">
    <w:abstractNumId w:val="27"/>
  </w:num>
  <w:num w:numId="19" w16cid:durableId="1933464385">
    <w:abstractNumId w:val="11"/>
  </w:num>
  <w:num w:numId="20" w16cid:durableId="1219051532">
    <w:abstractNumId w:val="9"/>
  </w:num>
  <w:num w:numId="21" w16cid:durableId="1298100712">
    <w:abstractNumId w:val="10"/>
  </w:num>
  <w:num w:numId="22" w16cid:durableId="1343314291">
    <w:abstractNumId w:val="32"/>
  </w:num>
  <w:num w:numId="23" w16cid:durableId="1037583847">
    <w:abstractNumId w:val="0"/>
  </w:num>
  <w:num w:numId="24" w16cid:durableId="1923758809">
    <w:abstractNumId w:val="20"/>
  </w:num>
  <w:num w:numId="25" w16cid:durableId="1410691902">
    <w:abstractNumId w:val="23"/>
  </w:num>
  <w:num w:numId="26" w16cid:durableId="548226014">
    <w:abstractNumId w:val="7"/>
  </w:num>
  <w:num w:numId="27" w16cid:durableId="1062944753">
    <w:abstractNumId w:val="16"/>
  </w:num>
  <w:num w:numId="28" w16cid:durableId="1384477214">
    <w:abstractNumId w:val="31"/>
  </w:num>
  <w:num w:numId="29" w16cid:durableId="1866628265">
    <w:abstractNumId w:val="17"/>
  </w:num>
  <w:num w:numId="30" w16cid:durableId="25832593">
    <w:abstractNumId w:val="25"/>
  </w:num>
  <w:num w:numId="31" w16cid:durableId="877549202">
    <w:abstractNumId w:val="29"/>
  </w:num>
  <w:num w:numId="32" w16cid:durableId="222523613">
    <w:abstractNumId w:val="8"/>
  </w:num>
  <w:num w:numId="33" w16cid:durableId="153060167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171"/>
    <w:rsid w:val="00001E74"/>
    <w:rsid w:val="00007D08"/>
    <w:rsid w:val="00010225"/>
    <w:rsid w:val="00010913"/>
    <w:rsid w:val="000112AF"/>
    <w:rsid w:val="0001133D"/>
    <w:rsid w:val="0001148E"/>
    <w:rsid w:val="0001315D"/>
    <w:rsid w:val="00013972"/>
    <w:rsid w:val="00020453"/>
    <w:rsid w:val="00023CC8"/>
    <w:rsid w:val="00024920"/>
    <w:rsid w:val="0003326C"/>
    <w:rsid w:val="000358A5"/>
    <w:rsid w:val="00043EE3"/>
    <w:rsid w:val="00046A59"/>
    <w:rsid w:val="00062A4D"/>
    <w:rsid w:val="00064721"/>
    <w:rsid w:val="0006718A"/>
    <w:rsid w:val="00072C90"/>
    <w:rsid w:val="000734A2"/>
    <w:rsid w:val="0007414B"/>
    <w:rsid w:val="0007513F"/>
    <w:rsid w:val="000770AE"/>
    <w:rsid w:val="0008011A"/>
    <w:rsid w:val="0009240C"/>
    <w:rsid w:val="0009517C"/>
    <w:rsid w:val="000956F3"/>
    <w:rsid w:val="000A13C5"/>
    <w:rsid w:val="000A1BB9"/>
    <w:rsid w:val="000A20CD"/>
    <w:rsid w:val="000B163A"/>
    <w:rsid w:val="000B396A"/>
    <w:rsid w:val="000B4D58"/>
    <w:rsid w:val="000B6C3B"/>
    <w:rsid w:val="000C2D02"/>
    <w:rsid w:val="000C3372"/>
    <w:rsid w:val="000C5949"/>
    <w:rsid w:val="000C645A"/>
    <w:rsid w:val="000D105E"/>
    <w:rsid w:val="000D1E26"/>
    <w:rsid w:val="000D377F"/>
    <w:rsid w:val="000D6CDC"/>
    <w:rsid w:val="000E08DB"/>
    <w:rsid w:val="000E41E6"/>
    <w:rsid w:val="000E4276"/>
    <w:rsid w:val="000F01CB"/>
    <w:rsid w:val="000F4D61"/>
    <w:rsid w:val="000F6F3D"/>
    <w:rsid w:val="00100AB6"/>
    <w:rsid w:val="00107A79"/>
    <w:rsid w:val="00107EC5"/>
    <w:rsid w:val="001101AF"/>
    <w:rsid w:val="00110401"/>
    <w:rsid w:val="001112B9"/>
    <w:rsid w:val="00111728"/>
    <w:rsid w:val="00112ED8"/>
    <w:rsid w:val="00114338"/>
    <w:rsid w:val="001246AE"/>
    <w:rsid w:val="00127CE7"/>
    <w:rsid w:val="001327AC"/>
    <w:rsid w:val="0013461E"/>
    <w:rsid w:val="00135BD0"/>
    <w:rsid w:val="001413CD"/>
    <w:rsid w:val="00141C1E"/>
    <w:rsid w:val="00144677"/>
    <w:rsid w:val="00152243"/>
    <w:rsid w:val="00155338"/>
    <w:rsid w:val="00157ED4"/>
    <w:rsid w:val="0016127D"/>
    <w:rsid w:val="001645F1"/>
    <w:rsid w:val="00164934"/>
    <w:rsid w:val="00164A19"/>
    <w:rsid w:val="001707B6"/>
    <w:rsid w:val="001806E4"/>
    <w:rsid w:val="0018092C"/>
    <w:rsid w:val="00180A77"/>
    <w:rsid w:val="0018151A"/>
    <w:rsid w:val="00184D3F"/>
    <w:rsid w:val="001917E6"/>
    <w:rsid w:val="00191CC8"/>
    <w:rsid w:val="00192295"/>
    <w:rsid w:val="001A1926"/>
    <w:rsid w:val="001A369C"/>
    <w:rsid w:val="001A44D3"/>
    <w:rsid w:val="001A79C4"/>
    <w:rsid w:val="001A7BE7"/>
    <w:rsid w:val="001B12D1"/>
    <w:rsid w:val="001B2550"/>
    <w:rsid w:val="001B2694"/>
    <w:rsid w:val="001B4959"/>
    <w:rsid w:val="001B5609"/>
    <w:rsid w:val="001C541A"/>
    <w:rsid w:val="001D33C2"/>
    <w:rsid w:val="001D7097"/>
    <w:rsid w:val="001E0460"/>
    <w:rsid w:val="001E2392"/>
    <w:rsid w:val="001E727E"/>
    <w:rsid w:val="001F1AA6"/>
    <w:rsid w:val="001F52EF"/>
    <w:rsid w:val="002017F0"/>
    <w:rsid w:val="002070F4"/>
    <w:rsid w:val="00207655"/>
    <w:rsid w:val="00211CBA"/>
    <w:rsid w:val="00220753"/>
    <w:rsid w:val="0022263C"/>
    <w:rsid w:val="00223CD5"/>
    <w:rsid w:val="00224F85"/>
    <w:rsid w:val="002259E5"/>
    <w:rsid w:val="0022660E"/>
    <w:rsid w:val="00226CAF"/>
    <w:rsid w:val="002278CF"/>
    <w:rsid w:val="00231E9F"/>
    <w:rsid w:val="002328A5"/>
    <w:rsid w:val="00236169"/>
    <w:rsid w:val="002371A8"/>
    <w:rsid w:val="00243F10"/>
    <w:rsid w:val="00250BFB"/>
    <w:rsid w:val="002513AE"/>
    <w:rsid w:val="00253977"/>
    <w:rsid w:val="00254558"/>
    <w:rsid w:val="00255399"/>
    <w:rsid w:val="00255411"/>
    <w:rsid w:val="00255F4F"/>
    <w:rsid w:val="00257C73"/>
    <w:rsid w:val="0026296C"/>
    <w:rsid w:val="00265FE2"/>
    <w:rsid w:val="0026612E"/>
    <w:rsid w:val="00267AD8"/>
    <w:rsid w:val="00270BCB"/>
    <w:rsid w:val="00272C79"/>
    <w:rsid w:val="00273579"/>
    <w:rsid w:val="00275ED5"/>
    <w:rsid w:val="002766A4"/>
    <w:rsid w:val="002805C1"/>
    <w:rsid w:val="00283337"/>
    <w:rsid w:val="0028494B"/>
    <w:rsid w:val="002877E2"/>
    <w:rsid w:val="00287D2A"/>
    <w:rsid w:val="00296FD7"/>
    <w:rsid w:val="002A1D0A"/>
    <w:rsid w:val="002B0C0E"/>
    <w:rsid w:val="002B4D37"/>
    <w:rsid w:val="002C0F7D"/>
    <w:rsid w:val="002C5E68"/>
    <w:rsid w:val="002C67A0"/>
    <w:rsid w:val="002C76C6"/>
    <w:rsid w:val="002D1673"/>
    <w:rsid w:val="002D2FF9"/>
    <w:rsid w:val="002F1A28"/>
    <w:rsid w:val="003027B6"/>
    <w:rsid w:val="00312538"/>
    <w:rsid w:val="0031293A"/>
    <w:rsid w:val="00315803"/>
    <w:rsid w:val="00317BFE"/>
    <w:rsid w:val="00321A16"/>
    <w:rsid w:val="00321E09"/>
    <w:rsid w:val="00323244"/>
    <w:rsid w:val="0032410C"/>
    <w:rsid w:val="00325655"/>
    <w:rsid w:val="0032695D"/>
    <w:rsid w:val="00330D91"/>
    <w:rsid w:val="0033238F"/>
    <w:rsid w:val="00336285"/>
    <w:rsid w:val="00336EFE"/>
    <w:rsid w:val="00337D4E"/>
    <w:rsid w:val="003419F5"/>
    <w:rsid w:val="003500D9"/>
    <w:rsid w:val="00356378"/>
    <w:rsid w:val="00362A77"/>
    <w:rsid w:val="0036311D"/>
    <w:rsid w:val="00375F44"/>
    <w:rsid w:val="00376731"/>
    <w:rsid w:val="00377C50"/>
    <w:rsid w:val="00385508"/>
    <w:rsid w:val="0039208D"/>
    <w:rsid w:val="003942BF"/>
    <w:rsid w:val="00395224"/>
    <w:rsid w:val="00395F0A"/>
    <w:rsid w:val="0039603F"/>
    <w:rsid w:val="00397821"/>
    <w:rsid w:val="003A05AA"/>
    <w:rsid w:val="003A2171"/>
    <w:rsid w:val="003A4E3B"/>
    <w:rsid w:val="003A5B31"/>
    <w:rsid w:val="003A6DE4"/>
    <w:rsid w:val="003B2169"/>
    <w:rsid w:val="003B5F9B"/>
    <w:rsid w:val="003C6DEF"/>
    <w:rsid w:val="003D0419"/>
    <w:rsid w:val="003D0503"/>
    <w:rsid w:val="003D2F18"/>
    <w:rsid w:val="003D53E7"/>
    <w:rsid w:val="003D58AB"/>
    <w:rsid w:val="003F38EE"/>
    <w:rsid w:val="003F7580"/>
    <w:rsid w:val="004018BA"/>
    <w:rsid w:val="0040211E"/>
    <w:rsid w:val="00402AF7"/>
    <w:rsid w:val="00404410"/>
    <w:rsid w:val="00406490"/>
    <w:rsid w:val="00413DB9"/>
    <w:rsid w:val="0041403B"/>
    <w:rsid w:val="00417736"/>
    <w:rsid w:val="00422492"/>
    <w:rsid w:val="00425F17"/>
    <w:rsid w:val="00425FC3"/>
    <w:rsid w:val="00432E2B"/>
    <w:rsid w:val="00433EA5"/>
    <w:rsid w:val="00434D56"/>
    <w:rsid w:val="00435525"/>
    <w:rsid w:val="00435B00"/>
    <w:rsid w:val="004401DB"/>
    <w:rsid w:val="004405F4"/>
    <w:rsid w:val="00443566"/>
    <w:rsid w:val="00443DB5"/>
    <w:rsid w:val="0044552A"/>
    <w:rsid w:val="00452E19"/>
    <w:rsid w:val="004628DC"/>
    <w:rsid w:val="00466A97"/>
    <w:rsid w:val="00466EE0"/>
    <w:rsid w:val="00470CA4"/>
    <w:rsid w:val="00470CE8"/>
    <w:rsid w:val="0047441C"/>
    <w:rsid w:val="00474AA0"/>
    <w:rsid w:val="004772B0"/>
    <w:rsid w:val="00480D5C"/>
    <w:rsid w:val="004814F4"/>
    <w:rsid w:val="004867D5"/>
    <w:rsid w:val="0049135F"/>
    <w:rsid w:val="00497717"/>
    <w:rsid w:val="004A09A9"/>
    <w:rsid w:val="004A0FF0"/>
    <w:rsid w:val="004A4F7C"/>
    <w:rsid w:val="004A5C96"/>
    <w:rsid w:val="004A6853"/>
    <w:rsid w:val="004A7518"/>
    <w:rsid w:val="004B2DDE"/>
    <w:rsid w:val="004B4EA0"/>
    <w:rsid w:val="004C10D2"/>
    <w:rsid w:val="004C5116"/>
    <w:rsid w:val="004E05A7"/>
    <w:rsid w:val="004E114A"/>
    <w:rsid w:val="004E11E8"/>
    <w:rsid w:val="004E2218"/>
    <w:rsid w:val="004E4788"/>
    <w:rsid w:val="004E6731"/>
    <w:rsid w:val="004E72AB"/>
    <w:rsid w:val="004F04F7"/>
    <w:rsid w:val="004F07B9"/>
    <w:rsid w:val="004F17A8"/>
    <w:rsid w:val="004F7770"/>
    <w:rsid w:val="005233A8"/>
    <w:rsid w:val="00524451"/>
    <w:rsid w:val="00525742"/>
    <w:rsid w:val="00530DDB"/>
    <w:rsid w:val="00533363"/>
    <w:rsid w:val="00535D73"/>
    <w:rsid w:val="00545740"/>
    <w:rsid w:val="0054659B"/>
    <w:rsid w:val="00555CFA"/>
    <w:rsid w:val="005561FB"/>
    <w:rsid w:val="00557F38"/>
    <w:rsid w:val="00562CAF"/>
    <w:rsid w:val="00562E9F"/>
    <w:rsid w:val="005653FD"/>
    <w:rsid w:val="0057089B"/>
    <w:rsid w:val="005779B5"/>
    <w:rsid w:val="00581C19"/>
    <w:rsid w:val="0058303D"/>
    <w:rsid w:val="00585E54"/>
    <w:rsid w:val="005860A5"/>
    <w:rsid w:val="00593EA6"/>
    <w:rsid w:val="005940FA"/>
    <w:rsid w:val="005958E1"/>
    <w:rsid w:val="005A61EB"/>
    <w:rsid w:val="005A69BF"/>
    <w:rsid w:val="005C027C"/>
    <w:rsid w:val="005C0D71"/>
    <w:rsid w:val="005C27AC"/>
    <w:rsid w:val="005C2F4C"/>
    <w:rsid w:val="005C4EC1"/>
    <w:rsid w:val="005D4C0F"/>
    <w:rsid w:val="005D5A5D"/>
    <w:rsid w:val="005D6E1B"/>
    <w:rsid w:val="005E2E3E"/>
    <w:rsid w:val="005F4136"/>
    <w:rsid w:val="005F7170"/>
    <w:rsid w:val="006047F6"/>
    <w:rsid w:val="006070C5"/>
    <w:rsid w:val="006136BF"/>
    <w:rsid w:val="00632BD5"/>
    <w:rsid w:val="006405D5"/>
    <w:rsid w:val="0064715F"/>
    <w:rsid w:val="00655FC4"/>
    <w:rsid w:val="00660706"/>
    <w:rsid w:val="00661CDB"/>
    <w:rsid w:val="00663A06"/>
    <w:rsid w:val="00670447"/>
    <w:rsid w:val="0067465B"/>
    <w:rsid w:val="00674AFB"/>
    <w:rsid w:val="006757C6"/>
    <w:rsid w:val="00675CD4"/>
    <w:rsid w:val="00682A98"/>
    <w:rsid w:val="00685651"/>
    <w:rsid w:val="00691361"/>
    <w:rsid w:val="00695121"/>
    <w:rsid w:val="006A4251"/>
    <w:rsid w:val="006A63CE"/>
    <w:rsid w:val="006B1523"/>
    <w:rsid w:val="006B24CA"/>
    <w:rsid w:val="006B4226"/>
    <w:rsid w:val="006C250D"/>
    <w:rsid w:val="006D002E"/>
    <w:rsid w:val="006D0F91"/>
    <w:rsid w:val="006D1537"/>
    <w:rsid w:val="006D63C2"/>
    <w:rsid w:val="006E3AD2"/>
    <w:rsid w:val="006F102B"/>
    <w:rsid w:val="006F5BB4"/>
    <w:rsid w:val="006F5FE5"/>
    <w:rsid w:val="007033CF"/>
    <w:rsid w:val="0071631B"/>
    <w:rsid w:val="007265B2"/>
    <w:rsid w:val="007331E7"/>
    <w:rsid w:val="00734CB7"/>
    <w:rsid w:val="007409F9"/>
    <w:rsid w:val="0074629D"/>
    <w:rsid w:val="00746411"/>
    <w:rsid w:val="007475D7"/>
    <w:rsid w:val="00751995"/>
    <w:rsid w:val="007534AE"/>
    <w:rsid w:val="007557B6"/>
    <w:rsid w:val="00760E86"/>
    <w:rsid w:val="00770E0C"/>
    <w:rsid w:val="00772281"/>
    <w:rsid w:val="007773E1"/>
    <w:rsid w:val="00782804"/>
    <w:rsid w:val="00782B29"/>
    <w:rsid w:val="00783944"/>
    <w:rsid w:val="00792641"/>
    <w:rsid w:val="007A26A7"/>
    <w:rsid w:val="007B2416"/>
    <w:rsid w:val="007B56E0"/>
    <w:rsid w:val="007C57E2"/>
    <w:rsid w:val="007D24A0"/>
    <w:rsid w:val="007D3D98"/>
    <w:rsid w:val="007E0BD9"/>
    <w:rsid w:val="007E4952"/>
    <w:rsid w:val="007E7A42"/>
    <w:rsid w:val="007E7F17"/>
    <w:rsid w:val="007F511A"/>
    <w:rsid w:val="007F53B3"/>
    <w:rsid w:val="007F5D00"/>
    <w:rsid w:val="00810BFE"/>
    <w:rsid w:val="008141B9"/>
    <w:rsid w:val="00814881"/>
    <w:rsid w:val="00814EB7"/>
    <w:rsid w:val="00817421"/>
    <w:rsid w:val="00820923"/>
    <w:rsid w:val="008263D9"/>
    <w:rsid w:val="00827360"/>
    <w:rsid w:val="008275E3"/>
    <w:rsid w:val="008321AE"/>
    <w:rsid w:val="0083641B"/>
    <w:rsid w:val="008373F2"/>
    <w:rsid w:val="00837B90"/>
    <w:rsid w:val="0084468E"/>
    <w:rsid w:val="00844B03"/>
    <w:rsid w:val="00845ED7"/>
    <w:rsid w:val="00854802"/>
    <w:rsid w:val="008602BD"/>
    <w:rsid w:val="00864934"/>
    <w:rsid w:val="008658A0"/>
    <w:rsid w:val="00871068"/>
    <w:rsid w:val="008758A0"/>
    <w:rsid w:val="00875940"/>
    <w:rsid w:val="008766A0"/>
    <w:rsid w:val="00876AB6"/>
    <w:rsid w:val="00880237"/>
    <w:rsid w:val="008904EF"/>
    <w:rsid w:val="00891B74"/>
    <w:rsid w:val="00892162"/>
    <w:rsid w:val="00893B81"/>
    <w:rsid w:val="008946BB"/>
    <w:rsid w:val="00894AEA"/>
    <w:rsid w:val="00895C75"/>
    <w:rsid w:val="00896EEF"/>
    <w:rsid w:val="008A120E"/>
    <w:rsid w:val="008A61F2"/>
    <w:rsid w:val="008A6B5A"/>
    <w:rsid w:val="008A70E4"/>
    <w:rsid w:val="008B242A"/>
    <w:rsid w:val="008C22F4"/>
    <w:rsid w:val="008C260A"/>
    <w:rsid w:val="008C26F9"/>
    <w:rsid w:val="008C3BBA"/>
    <w:rsid w:val="008D3386"/>
    <w:rsid w:val="008D62EE"/>
    <w:rsid w:val="008E121E"/>
    <w:rsid w:val="008E4BB7"/>
    <w:rsid w:val="008E54A7"/>
    <w:rsid w:val="008F4DCD"/>
    <w:rsid w:val="00902E18"/>
    <w:rsid w:val="009101C9"/>
    <w:rsid w:val="00910D19"/>
    <w:rsid w:val="00915341"/>
    <w:rsid w:val="00915376"/>
    <w:rsid w:val="00930802"/>
    <w:rsid w:val="00930C67"/>
    <w:rsid w:val="009310A6"/>
    <w:rsid w:val="0093230B"/>
    <w:rsid w:val="00933099"/>
    <w:rsid w:val="00934E14"/>
    <w:rsid w:val="009440CA"/>
    <w:rsid w:val="009541B4"/>
    <w:rsid w:val="00954793"/>
    <w:rsid w:val="00956F91"/>
    <w:rsid w:val="00957814"/>
    <w:rsid w:val="00957FD3"/>
    <w:rsid w:val="009605DB"/>
    <w:rsid w:val="00962D23"/>
    <w:rsid w:val="0097291C"/>
    <w:rsid w:val="00973760"/>
    <w:rsid w:val="00974DD0"/>
    <w:rsid w:val="00975640"/>
    <w:rsid w:val="00975BC2"/>
    <w:rsid w:val="00976F4D"/>
    <w:rsid w:val="00981EB5"/>
    <w:rsid w:val="0098473C"/>
    <w:rsid w:val="00987921"/>
    <w:rsid w:val="00987F0E"/>
    <w:rsid w:val="00991EF8"/>
    <w:rsid w:val="009A6E8C"/>
    <w:rsid w:val="009D7D38"/>
    <w:rsid w:val="009E193E"/>
    <w:rsid w:val="009E6011"/>
    <w:rsid w:val="009E6B3D"/>
    <w:rsid w:val="009E6C0B"/>
    <w:rsid w:val="009F093C"/>
    <w:rsid w:val="009F0AF2"/>
    <w:rsid w:val="00A027CF"/>
    <w:rsid w:val="00A0719F"/>
    <w:rsid w:val="00A0732B"/>
    <w:rsid w:val="00A07832"/>
    <w:rsid w:val="00A11481"/>
    <w:rsid w:val="00A116AA"/>
    <w:rsid w:val="00A118AB"/>
    <w:rsid w:val="00A14D93"/>
    <w:rsid w:val="00A14ED1"/>
    <w:rsid w:val="00A1585C"/>
    <w:rsid w:val="00A2017F"/>
    <w:rsid w:val="00A2040B"/>
    <w:rsid w:val="00A21521"/>
    <w:rsid w:val="00A237D2"/>
    <w:rsid w:val="00A23967"/>
    <w:rsid w:val="00A24982"/>
    <w:rsid w:val="00A25721"/>
    <w:rsid w:val="00A32522"/>
    <w:rsid w:val="00A339C6"/>
    <w:rsid w:val="00A35DC3"/>
    <w:rsid w:val="00A400DF"/>
    <w:rsid w:val="00A44D5D"/>
    <w:rsid w:val="00A451AD"/>
    <w:rsid w:val="00A4730C"/>
    <w:rsid w:val="00A477CA"/>
    <w:rsid w:val="00A5114C"/>
    <w:rsid w:val="00A54775"/>
    <w:rsid w:val="00A6223C"/>
    <w:rsid w:val="00A67020"/>
    <w:rsid w:val="00A753B5"/>
    <w:rsid w:val="00A759E5"/>
    <w:rsid w:val="00A80C7B"/>
    <w:rsid w:val="00A832D5"/>
    <w:rsid w:val="00A84017"/>
    <w:rsid w:val="00A91218"/>
    <w:rsid w:val="00A933BC"/>
    <w:rsid w:val="00A978E5"/>
    <w:rsid w:val="00AA25F7"/>
    <w:rsid w:val="00AA3374"/>
    <w:rsid w:val="00AB226B"/>
    <w:rsid w:val="00AB4025"/>
    <w:rsid w:val="00AB4F99"/>
    <w:rsid w:val="00AC5B96"/>
    <w:rsid w:val="00AD1E97"/>
    <w:rsid w:val="00AD5968"/>
    <w:rsid w:val="00AE0108"/>
    <w:rsid w:val="00AE1760"/>
    <w:rsid w:val="00AE2D73"/>
    <w:rsid w:val="00AE3EB3"/>
    <w:rsid w:val="00AE4BF1"/>
    <w:rsid w:val="00AE7003"/>
    <w:rsid w:val="00AE72F3"/>
    <w:rsid w:val="00AF1A5C"/>
    <w:rsid w:val="00AF208B"/>
    <w:rsid w:val="00AF342A"/>
    <w:rsid w:val="00AF4CD9"/>
    <w:rsid w:val="00B124A7"/>
    <w:rsid w:val="00B12D30"/>
    <w:rsid w:val="00B131DF"/>
    <w:rsid w:val="00B17CA2"/>
    <w:rsid w:val="00B2582C"/>
    <w:rsid w:val="00B31653"/>
    <w:rsid w:val="00B41634"/>
    <w:rsid w:val="00B41F71"/>
    <w:rsid w:val="00B43A2D"/>
    <w:rsid w:val="00B45ED2"/>
    <w:rsid w:val="00B50983"/>
    <w:rsid w:val="00B52E60"/>
    <w:rsid w:val="00B55653"/>
    <w:rsid w:val="00B65A82"/>
    <w:rsid w:val="00B66237"/>
    <w:rsid w:val="00B671AE"/>
    <w:rsid w:val="00B67884"/>
    <w:rsid w:val="00B67AF7"/>
    <w:rsid w:val="00B703E5"/>
    <w:rsid w:val="00B74569"/>
    <w:rsid w:val="00B913A2"/>
    <w:rsid w:val="00B933FD"/>
    <w:rsid w:val="00B936CD"/>
    <w:rsid w:val="00B93AB9"/>
    <w:rsid w:val="00B97F34"/>
    <w:rsid w:val="00BA4D9B"/>
    <w:rsid w:val="00BA597B"/>
    <w:rsid w:val="00BA7F0F"/>
    <w:rsid w:val="00BB5F78"/>
    <w:rsid w:val="00BC0B5D"/>
    <w:rsid w:val="00BD0A67"/>
    <w:rsid w:val="00BD1DB8"/>
    <w:rsid w:val="00BD6E7A"/>
    <w:rsid w:val="00BE3C9E"/>
    <w:rsid w:val="00BF5F63"/>
    <w:rsid w:val="00C00524"/>
    <w:rsid w:val="00C014FE"/>
    <w:rsid w:val="00C01548"/>
    <w:rsid w:val="00C02C3D"/>
    <w:rsid w:val="00C04033"/>
    <w:rsid w:val="00C052F2"/>
    <w:rsid w:val="00C06E89"/>
    <w:rsid w:val="00C25DB8"/>
    <w:rsid w:val="00C26891"/>
    <w:rsid w:val="00C26D52"/>
    <w:rsid w:val="00C322CB"/>
    <w:rsid w:val="00C336D3"/>
    <w:rsid w:val="00C357F7"/>
    <w:rsid w:val="00C36662"/>
    <w:rsid w:val="00C373EF"/>
    <w:rsid w:val="00C40B3D"/>
    <w:rsid w:val="00C44B14"/>
    <w:rsid w:val="00C46DCF"/>
    <w:rsid w:val="00C47843"/>
    <w:rsid w:val="00C50E60"/>
    <w:rsid w:val="00C513DD"/>
    <w:rsid w:val="00C528EC"/>
    <w:rsid w:val="00C54473"/>
    <w:rsid w:val="00C545CD"/>
    <w:rsid w:val="00C54DC3"/>
    <w:rsid w:val="00C54F49"/>
    <w:rsid w:val="00C55152"/>
    <w:rsid w:val="00C57434"/>
    <w:rsid w:val="00C66865"/>
    <w:rsid w:val="00C7134F"/>
    <w:rsid w:val="00C72619"/>
    <w:rsid w:val="00C804C3"/>
    <w:rsid w:val="00C829B7"/>
    <w:rsid w:val="00C833FB"/>
    <w:rsid w:val="00C8469B"/>
    <w:rsid w:val="00C8498D"/>
    <w:rsid w:val="00C85276"/>
    <w:rsid w:val="00C855B0"/>
    <w:rsid w:val="00C93BB8"/>
    <w:rsid w:val="00C93C3C"/>
    <w:rsid w:val="00C94EF0"/>
    <w:rsid w:val="00CA06E4"/>
    <w:rsid w:val="00CA1AA7"/>
    <w:rsid w:val="00CA3343"/>
    <w:rsid w:val="00CA7684"/>
    <w:rsid w:val="00CB096E"/>
    <w:rsid w:val="00CB3207"/>
    <w:rsid w:val="00CB4365"/>
    <w:rsid w:val="00CC2284"/>
    <w:rsid w:val="00CC3191"/>
    <w:rsid w:val="00CC7A93"/>
    <w:rsid w:val="00CC7C76"/>
    <w:rsid w:val="00CD06CE"/>
    <w:rsid w:val="00CD159F"/>
    <w:rsid w:val="00CD67BB"/>
    <w:rsid w:val="00CD7158"/>
    <w:rsid w:val="00CE4A52"/>
    <w:rsid w:val="00CE6412"/>
    <w:rsid w:val="00CF1CCD"/>
    <w:rsid w:val="00CF1D7D"/>
    <w:rsid w:val="00D0136F"/>
    <w:rsid w:val="00D01975"/>
    <w:rsid w:val="00D04563"/>
    <w:rsid w:val="00D0693F"/>
    <w:rsid w:val="00D07E15"/>
    <w:rsid w:val="00D1102D"/>
    <w:rsid w:val="00D13A44"/>
    <w:rsid w:val="00D16616"/>
    <w:rsid w:val="00D16BBB"/>
    <w:rsid w:val="00D25266"/>
    <w:rsid w:val="00D26FF5"/>
    <w:rsid w:val="00D3421D"/>
    <w:rsid w:val="00D40AA2"/>
    <w:rsid w:val="00D41921"/>
    <w:rsid w:val="00D434A7"/>
    <w:rsid w:val="00D4450B"/>
    <w:rsid w:val="00D4546E"/>
    <w:rsid w:val="00D50EC1"/>
    <w:rsid w:val="00D527EB"/>
    <w:rsid w:val="00D70BB8"/>
    <w:rsid w:val="00D72420"/>
    <w:rsid w:val="00D72F1F"/>
    <w:rsid w:val="00D76426"/>
    <w:rsid w:val="00D7741C"/>
    <w:rsid w:val="00D77ECD"/>
    <w:rsid w:val="00D809B2"/>
    <w:rsid w:val="00D828D8"/>
    <w:rsid w:val="00D82DF2"/>
    <w:rsid w:val="00D90B78"/>
    <w:rsid w:val="00D928CF"/>
    <w:rsid w:val="00D9712E"/>
    <w:rsid w:val="00DA2FAC"/>
    <w:rsid w:val="00DA5A9E"/>
    <w:rsid w:val="00DB209B"/>
    <w:rsid w:val="00DB4199"/>
    <w:rsid w:val="00DB6C09"/>
    <w:rsid w:val="00DC46B6"/>
    <w:rsid w:val="00DC5D73"/>
    <w:rsid w:val="00DC5DDB"/>
    <w:rsid w:val="00DC785D"/>
    <w:rsid w:val="00DE15FF"/>
    <w:rsid w:val="00DE4712"/>
    <w:rsid w:val="00DE65F2"/>
    <w:rsid w:val="00DE763E"/>
    <w:rsid w:val="00DF13EA"/>
    <w:rsid w:val="00DF4923"/>
    <w:rsid w:val="00DF519A"/>
    <w:rsid w:val="00DF5BD7"/>
    <w:rsid w:val="00DF6A2D"/>
    <w:rsid w:val="00E00008"/>
    <w:rsid w:val="00E0386E"/>
    <w:rsid w:val="00E0686B"/>
    <w:rsid w:val="00E130D2"/>
    <w:rsid w:val="00E157BA"/>
    <w:rsid w:val="00E16A7B"/>
    <w:rsid w:val="00E20DC2"/>
    <w:rsid w:val="00E21272"/>
    <w:rsid w:val="00E251B7"/>
    <w:rsid w:val="00E25C28"/>
    <w:rsid w:val="00E31826"/>
    <w:rsid w:val="00E3332E"/>
    <w:rsid w:val="00E43FEC"/>
    <w:rsid w:val="00E466C8"/>
    <w:rsid w:val="00E47252"/>
    <w:rsid w:val="00E51756"/>
    <w:rsid w:val="00E52CAF"/>
    <w:rsid w:val="00E547A1"/>
    <w:rsid w:val="00E61495"/>
    <w:rsid w:val="00E71CA4"/>
    <w:rsid w:val="00E754A8"/>
    <w:rsid w:val="00E75E45"/>
    <w:rsid w:val="00E7709A"/>
    <w:rsid w:val="00E8025C"/>
    <w:rsid w:val="00E80D23"/>
    <w:rsid w:val="00E8450D"/>
    <w:rsid w:val="00E86415"/>
    <w:rsid w:val="00E92BF0"/>
    <w:rsid w:val="00E93A5D"/>
    <w:rsid w:val="00E93E96"/>
    <w:rsid w:val="00E95A7D"/>
    <w:rsid w:val="00E9646F"/>
    <w:rsid w:val="00E96F7F"/>
    <w:rsid w:val="00EA730E"/>
    <w:rsid w:val="00EA776D"/>
    <w:rsid w:val="00EB0DE2"/>
    <w:rsid w:val="00EB48C9"/>
    <w:rsid w:val="00EB7105"/>
    <w:rsid w:val="00EB775E"/>
    <w:rsid w:val="00EC0438"/>
    <w:rsid w:val="00EC6DC3"/>
    <w:rsid w:val="00EC6E5D"/>
    <w:rsid w:val="00ED0008"/>
    <w:rsid w:val="00ED0CBB"/>
    <w:rsid w:val="00ED55BC"/>
    <w:rsid w:val="00ED66EE"/>
    <w:rsid w:val="00ED6ACC"/>
    <w:rsid w:val="00ED7405"/>
    <w:rsid w:val="00ED7C39"/>
    <w:rsid w:val="00EE20D9"/>
    <w:rsid w:val="00EE42B8"/>
    <w:rsid w:val="00EE4A2B"/>
    <w:rsid w:val="00EF182F"/>
    <w:rsid w:val="00EF1C98"/>
    <w:rsid w:val="00EF6B7A"/>
    <w:rsid w:val="00F01979"/>
    <w:rsid w:val="00F041E9"/>
    <w:rsid w:val="00F12058"/>
    <w:rsid w:val="00F16DC8"/>
    <w:rsid w:val="00F3112F"/>
    <w:rsid w:val="00F31D81"/>
    <w:rsid w:val="00F3676C"/>
    <w:rsid w:val="00F3731F"/>
    <w:rsid w:val="00F403E2"/>
    <w:rsid w:val="00F41234"/>
    <w:rsid w:val="00F44F1A"/>
    <w:rsid w:val="00F45A3B"/>
    <w:rsid w:val="00F55C02"/>
    <w:rsid w:val="00F564F8"/>
    <w:rsid w:val="00F56B09"/>
    <w:rsid w:val="00F57524"/>
    <w:rsid w:val="00F70258"/>
    <w:rsid w:val="00F71B9D"/>
    <w:rsid w:val="00F7219F"/>
    <w:rsid w:val="00F741E0"/>
    <w:rsid w:val="00F76F0C"/>
    <w:rsid w:val="00F809CB"/>
    <w:rsid w:val="00F91E47"/>
    <w:rsid w:val="00F92E6B"/>
    <w:rsid w:val="00FA2137"/>
    <w:rsid w:val="00FA2592"/>
    <w:rsid w:val="00FA2B91"/>
    <w:rsid w:val="00FB0F0A"/>
    <w:rsid w:val="00FC74DA"/>
    <w:rsid w:val="00FD0E5C"/>
    <w:rsid w:val="00FD3F22"/>
    <w:rsid w:val="00FE06CF"/>
    <w:rsid w:val="00FE18F0"/>
    <w:rsid w:val="00FE3AC5"/>
    <w:rsid w:val="00FF40D1"/>
    <w:rsid w:val="00FF60D7"/>
    <w:rsid w:val="00FF7E6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F5914"/>
  <w15:chartTrackingRefBased/>
  <w15:docId w15:val="{BD8C7D7D-9B93-4EA5-849D-2872A5020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360"/>
  </w:style>
  <w:style w:type="paragraph" w:styleId="Heading1">
    <w:name w:val="heading 1"/>
    <w:basedOn w:val="Normal"/>
    <w:next w:val="Normal"/>
    <w:link w:val="Heading1Char"/>
    <w:uiPriority w:val="9"/>
    <w:qFormat/>
    <w:rsid w:val="003A21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21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21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21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21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21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21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21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21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1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21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21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21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21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21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21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21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2171"/>
    <w:rPr>
      <w:rFonts w:eastAsiaTheme="majorEastAsia" w:cstheme="majorBidi"/>
      <w:color w:val="272727" w:themeColor="text1" w:themeTint="D8"/>
    </w:rPr>
  </w:style>
  <w:style w:type="paragraph" w:styleId="Title">
    <w:name w:val="Title"/>
    <w:basedOn w:val="Normal"/>
    <w:next w:val="Normal"/>
    <w:link w:val="TitleChar"/>
    <w:uiPriority w:val="10"/>
    <w:qFormat/>
    <w:rsid w:val="003A21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21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21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21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2171"/>
    <w:pPr>
      <w:spacing w:before="160"/>
      <w:jc w:val="center"/>
    </w:pPr>
    <w:rPr>
      <w:i/>
      <w:iCs/>
      <w:color w:val="404040" w:themeColor="text1" w:themeTint="BF"/>
    </w:rPr>
  </w:style>
  <w:style w:type="character" w:customStyle="1" w:styleId="QuoteChar">
    <w:name w:val="Quote Char"/>
    <w:basedOn w:val="DefaultParagraphFont"/>
    <w:link w:val="Quote"/>
    <w:uiPriority w:val="29"/>
    <w:rsid w:val="003A2171"/>
    <w:rPr>
      <w:i/>
      <w:iCs/>
      <w:color w:val="404040" w:themeColor="text1" w:themeTint="BF"/>
    </w:rPr>
  </w:style>
  <w:style w:type="paragraph" w:styleId="ListParagraph">
    <w:name w:val="List Paragraph"/>
    <w:basedOn w:val="Normal"/>
    <w:uiPriority w:val="34"/>
    <w:qFormat/>
    <w:rsid w:val="003A2171"/>
    <w:pPr>
      <w:ind w:left="720"/>
      <w:contextualSpacing/>
    </w:pPr>
  </w:style>
  <w:style w:type="character" w:styleId="IntenseEmphasis">
    <w:name w:val="Intense Emphasis"/>
    <w:basedOn w:val="DefaultParagraphFont"/>
    <w:uiPriority w:val="21"/>
    <w:qFormat/>
    <w:rsid w:val="003A2171"/>
    <w:rPr>
      <w:i/>
      <w:iCs/>
      <w:color w:val="0F4761" w:themeColor="accent1" w:themeShade="BF"/>
    </w:rPr>
  </w:style>
  <w:style w:type="paragraph" w:styleId="IntenseQuote">
    <w:name w:val="Intense Quote"/>
    <w:basedOn w:val="Normal"/>
    <w:next w:val="Normal"/>
    <w:link w:val="IntenseQuoteChar"/>
    <w:uiPriority w:val="30"/>
    <w:qFormat/>
    <w:rsid w:val="003A21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2171"/>
    <w:rPr>
      <w:i/>
      <w:iCs/>
      <w:color w:val="0F4761" w:themeColor="accent1" w:themeShade="BF"/>
    </w:rPr>
  </w:style>
  <w:style w:type="character" w:styleId="IntenseReference">
    <w:name w:val="Intense Reference"/>
    <w:basedOn w:val="DefaultParagraphFont"/>
    <w:uiPriority w:val="32"/>
    <w:qFormat/>
    <w:rsid w:val="003A2171"/>
    <w:rPr>
      <w:b/>
      <w:bCs/>
      <w:smallCaps/>
      <w:color w:val="0F4761" w:themeColor="accent1" w:themeShade="BF"/>
      <w:spacing w:val="5"/>
    </w:rPr>
  </w:style>
  <w:style w:type="table" w:styleId="TableGrid">
    <w:name w:val="Table Grid"/>
    <w:basedOn w:val="TableNormal"/>
    <w:uiPriority w:val="39"/>
    <w:rsid w:val="003A2171"/>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B2694"/>
    <w:pPr>
      <w:widowControl w:val="0"/>
      <w:autoSpaceDE w:val="0"/>
      <w:autoSpaceDN w:val="0"/>
      <w:spacing w:after="0" w:line="240" w:lineRule="auto"/>
      <w:ind w:left="113"/>
    </w:pPr>
    <w:rPr>
      <w:rFonts w:ascii="Tahoma" w:eastAsia="Tahoma" w:hAnsi="Tahoma" w:cs="Tahoma"/>
      <w:kern w:val="0"/>
      <w:sz w:val="22"/>
      <w:szCs w:val="22"/>
      <w:lang w:val="en-US"/>
      <w14:ligatures w14:val="none"/>
    </w:rPr>
  </w:style>
  <w:style w:type="character" w:styleId="CommentReference">
    <w:name w:val="annotation reference"/>
    <w:basedOn w:val="DefaultParagraphFont"/>
    <w:uiPriority w:val="99"/>
    <w:semiHidden/>
    <w:unhideWhenUsed/>
    <w:rsid w:val="001B2694"/>
    <w:rPr>
      <w:sz w:val="16"/>
      <w:szCs w:val="16"/>
    </w:rPr>
  </w:style>
  <w:style w:type="paragraph" w:styleId="CommentText">
    <w:name w:val="annotation text"/>
    <w:basedOn w:val="Normal"/>
    <w:link w:val="CommentTextChar"/>
    <w:uiPriority w:val="99"/>
    <w:unhideWhenUsed/>
    <w:rsid w:val="001B2694"/>
    <w:pPr>
      <w:widowControl w:val="0"/>
      <w:autoSpaceDE w:val="0"/>
      <w:autoSpaceDN w:val="0"/>
      <w:spacing w:after="0" w:line="240" w:lineRule="auto"/>
    </w:pPr>
    <w:rPr>
      <w:rFonts w:ascii="Tahoma" w:eastAsia="Tahoma" w:hAnsi="Tahoma" w:cs="Tahoma"/>
      <w:kern w:val="0"/>
      <w:sz w:val="20"/>
      <w:szCs w:val="20"/>
      <w:lang w:val="en-US"/>
      <w14:ligatures w14:val="none"/>
    </w:rPr>
  </w:style>
  <w:style w:type="character" w:customStyle="1" w:styleId="CommentTextChar">
    <w:name w:val="Comment Text Char"/>
    <w:basedOn w:val="DefaultParagraphFont"/>
    <w:link w:val="CommentText"/>
    <w:uiPriority w:val="99"/>
    <w:rsid w:val="001B2694"/>
    <w:rPr>
      <w:rFonts w:ascii="Tahoma" w:eastAsia="Tahoma" w:hAnsi="Tahoma" w:cs="Tahoma"/>
      <w:kern w:val="0"/>
      <w:sz w:val="20"/>
      <w:szCs w:val="20"/>
      <w:lang w:val="en-US"/>
      <w14:ligatures w14:val="none"/>
    </w:rPr>
  </w:style>
  <w:style w:type="paragraph" w:styleId="Header">
    <w:name w:val="header"/>
    <w:basedOn w:val="Normal"/>
    <w:link w:val="HeaderChar"/>
    <w:uiPriority w:val="99"/>
    <w:unhideWhenUsed/>
    <w:rsid w:val="009729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291C"/>
  </w:style>
  <w:style w:type="paragraph" w:styleId="Footer">
    <w:name w:val="footer"/>
    <w:basedOn w:val="Normal"/>
    <w:link w:val="FooterChar"/>
    <w:uiPriority w:val="99"/>
    <w:unhideWhenUsed/>
    <w:rsid w:val="009729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91C"/>
  </w:style>
  <w:style w:type="paragraph" w:styleId="Revision">
    <w:name w:val="Revision"/>
    <w:hidden/>
    <w:uiPriority w:val="99"/>
    <w:semiHidden/>
    <w:rsid w:val="00377C50"/>
    <w:pPr>
      <w:spacing w:after="0" w:line="240" w:lineRule="auto"/>
    </w:pPr>
  </w:style>
  <w:style w:type="paragraph" w:styleId="CommentSubject">
    <w:name w:val="annotation subject"/>
    <w:basedOn w:val="CommentText"/>
    <w:next w:val="CommentText"/>
    <w:link w:val="CommentSubjectChar"/>
    <w:uiPriority w:val="99"/>
    <w:semiHidden/>
    <w:unhideWhenUsed/>
    <w:rsid w:val="002C5E68"/>
    <w:pPr>
      <w:widowControl/>
      <w:autoSpaceDE/>
      <w:autoSpaceDN/>
      <w:spacing w:after="160"/>
    </w:pPr>
    <w:rPr>
      <w:rFonts w:asciiTheme="minorHAnsi" w:eastAsiaTheme="minorHAnsi" w:hAnsiTheme="minorHAnsi" w:cstheme="minorBidi"/>
      <w:b/>
      <w:bCs/>
      <w:kern w:val="2"/>
      <w:lang w:val="en-GB"/>
      <w14:ligatures w14:val="standardContextual"/>
    </w:rPr>
  </w:style>
  <w:style w:type="character" w:customStyle="1" w:styleId="CommentSubjectChar">
    <w:name w:val="Comment Subject Char"/>
    <w:basedOn w:val="CommentTextChar"/>
    <w:link w:val="CommentSubject"/>
    <w:uiPriority w:val="99"/>
    <w:semiHidden/>
    <w:rsid w:val="002C5E68"/>
    <w:rPr>
      <w:rFonts w:ascii="Tahoma" w:eastAsia="Tahoma" w:hAnsi="Tahoma" w:cs="Tahoma"/>
      <w:b/>
      <w:bCs/>
      <w:kern w:val="0"/>
      <w:sz w:val="20"/>
      <w:szCs w:val="20"/>
      <w:lang w:val="en-US"/>
      <w14:ligatures w14:val="none"/>
    </w:rPr>
  </w:style>
  <w:style w:type="paragraph" w:styleId="NormalWeb">
    <w:name w:val="Normal (Web)"/>
    <w:basedOn w:val="Normal"/>
    <w:uiPriority w:val="99"/>
    <w:semiHidden/>
    <w:unhideWhenUsed/>
    <w:rsid w:val="003D53E7"/>
    <w:pPr>
      <w:spacing w:before="100" w:beforeAutospacing="1" w:after="100" w:afterAutospacing="1" w:line="240" w:lineRule="auto"/>
    </w:pPr>
    <w:rPr>
      <w:rFonts w:ascii="Aptos" w:hAnsi="Aptos" w:cs="Aptos"/>
      <w:kern w:val="0"/>
      <w:lang w:eastAsia="en-GB"/>
      <w14:ligatures w14:val="none"/>
    </w:rPr>
  </w:style>
  <w:style w:type="character" w:styleId="Strong">
    <w:name w:val="Strong"/>
    <w:basedOn w:val="DefaultParagraphFont"/>
    <w:uiPriority w:val="22"/>
    <w:qFormat/>
    <w:rsid w:val="00782B29"/>
    <w:rPr>
      <w:b/>
      <w:bCs/>
    </w:rPr>
  </w:style>
  <w:style w:type="paragraph" w:customStyle="1" w:styleId="Default">
    <w:name w:val="Default"/>
    <w:rsid w:val="00FA2592"/>
    <w:pPr>
      <w:autoSpaceDE w:val="0"/>
      <w:autoSpaceDN w:val="0"/>
      <w:adjustRightInd w:val="0"/>
      <w:spacing w:after="0" w:line="240" w:lineRule="auto"/>
    </w:pPr>
    <w:rPr>
      <w:rFonts w:ascii="Calibri" w:hAnsi="Calibri" w:cs="Calibri"/>
      <w:color w:val="000000"/>
      <w:kern w:val="0"/>
    </w:rPr>
  </w:style>
  <w:style w:type="paragraph" w:customStyle="1" w:styleId="Pa2">
    <w:name w:val="Pa2"/>
    <w:basedOn w:val="Default"/>
    <w:next w:val="Default"/>
    <w:uiPriority w:val="99"/>
    <w:rsid w:val="005940FA"/>
    <w:pPr>
      <w:spacing w:line="241" w:lineRule="atLeast"/>
    </w:pPr>
    <w:rPr>
      <w:rFonts w:ascii="Asap" w:hAnsi="Asap" w:cstheme="minorBidi"/>
      <w:color w:val="auto"/>
    </w:rPr>
  </w:style>
  <w:style w:type="character" w:styleId="Hyperlink">
    <w:name w:val="Hyperlink"/>
    <w:basedOn w:val="DefaultParagraphFont"/>
    <w:uiPriority w:val="99"/>
    <w:unhideWhenUsed/>
    <w:rsid w:val="00B933FD"/>
    <w:rPr>
      <w:color w:val="467886" w:themeColor="hyperlink"/>
      <w:u w:val="single"/>
    </w:rPr>
  </w:style>
  <w:style w:type="character" w:styleId="UnresolvedMention">
    <w:name w:val="Unresolved Mention"/>
    <w:basedOn w:val="DefaultParagraphFont"/>
    <w:uiPriority w:val="99"/>
    <w:semiHidden/>
    <w:unhideWhenUsed/>
    <w:rsid w:val="00B933FD"/>
    <w:rPr>
      <w:color w:val="605E5C"/>
      <w:shd w:val="clear" w:color="auto" w:fill="E1DFDD"/>
    </w:rPr>
  </w:style>
  <w:style w:type="character" w:styleId="FollowedHyperlink">
    <w:name w:val="FollowedHyperlink"/>
    <w:basedOn w:val="DefaultParagraphFont"/>
    <w:uiPriority w:val="99"/>
    <w:semiHidden/>
    <w:unhideWhenUsed/>
    <w:rsid w:val="00DB419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494258">
      <w:bodyDiv w:val="1"/>
      <w:marLeft w:val="0"/>
      <w:marRight w:val="0"/>
      <w:marTop w:val="0"/>
      <w:marBottom w:val="0"/>
      <w:divBdr>
        <w:top w:val="none" w:sz="0" w:space="0" w:color="auto"/>
        <w:left w:val="none" w:sz="0" w:space="0" w:color="auto"/>
        <w:bottom w:val="none" w:sz="0" w:space="0" w:color="auto"/>
        <w:right w:val="none" w:sz="0" w:space="0" w:color="auto"/>
      </w:divBdr>
    </w:div>
    <w:div w:id="174660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tionalfriendly.co.uk/media/q4tboy4y/dcp-target-market-information.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CF4B029ED6564890056A4D6A400FAA" ma:contentTypeVersion="18" ma:contentTypeDescription="Create a new document." ma:contentTypeScope="" ma:versionID="0ee0c92e194daaba97b6f803e61de31c">
  <xsd:schema xmlns:xsd="http://www.w3.org/2001/XMLSchema" xmlns:xs="http://www.w3.org/2001/XMLSchema" xmlns:p="http://schemas.microsoft.com/office/2006/metadata/properties" xmlns:ns2="2fea5d7f-eba5-42cd-aa66-a768968f8689" xmlns:ns3="bebef3bd-abd2-4438-8cdc-f4ee907b8811" targetNamespace="http://schemas.microsoft.com/office/2006/metadata/properties" ma:root="true" ma:fieldsID="f072a38a54ae7987494c04f65a99c9b6" ns2:_="" ns3:_="">
    <xsd:import namespace="2fea5d7f-eba5-42cd-aa66-a768968f8689"/>
    <xsd:import namespace="bebef3bd-abd2-4438-8cdc-f4ee907b88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3:LSTag1" minOccurs="0"/>
                <xsd:element ref="ns3:LSTag2" minOccurs="0"/>
                <xsd:element ref="ns3:LSTag3" minOccurs="0"/>
                <xsd:element ref="ns3:LSTag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a5d7f-eba5-42cd-aa66-a768968f86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8508d8e-e9a0-4eef-9776-02b937fc0c1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bef3bd-abd2-4438-8cdc-f4ee907b88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ea5b887-e96d-44fa-b040-ea4e2e04ab73}" ma:internalName="TaxCatchAll" ma:showField="CatchAllData" ma:web="bebef3bd-abd2-4438-8cdc-f4ee907b8811">
      <xsd:complexType>
        <xsd:complexContent>
          <xsd:extension base="dms:MultiChoiceLookup">
            <xsd:sequence>
              <xsd:element name="Value" type="dms:Lookup" maxOccurs="unbounded" minOccurs="0" nillable="true"/>
            </xsd:sequence>
          </xsd:extension>
        </xsd:complexContent>
      </xsd:complexType>
    </xsd:element>
    <xsd:element name="LSTag1" ma:index="22" nillable="true" ma:displayName="LSTag1" ma:hidden="true" ma:internalName="LSTag1">
      <xsd:simpleType>
        <xsd:restriction base="dms:Note"/>
      </xsd:simpleType>
    </xsd:element>
    <xsd:element name="LSTag2" ma:index="23" nillable="true" ma:displayName="LSTag2" ma:hidden="true" ma:internalName="LSTag2">
      <xsd:simpleType>
        <xsd:restriction base="dms:Note"/>
      </xsd:simpleType>
    </xsd:element>
    <xsd:element name="LSTag3" ma:index="24" nillable="true" ma:displayName="LSTag3" ma:hidden="true" ma:internalName="LSTag3">
      <xsd:simpleType>
        <xsd:restriction base="dms:Note"/>
      </xsd:simpleType>
    </xsd:element>
    <xsd:element name="LSTag4" ma:index="25" nillable="true" ma:displayName="LSTag4" ma:hidden="true" ma:internalName="LSTag4">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F5D334-2055-48B0-9F96-3D10961CB32C}">
  <ds:schemaRefs>
    <ds:schemaRef ds:uri="http://schemas.openxmlformats.org/officeDocument/2006/bibliography"/>
  </ds:schemaRefs>
</ds:datastoreItem>
</file>

<file path=customXml/itemProps2.xml><?xml version="1.0" encoding="utf-8"?>
<ds:datastoreItem xmlns:ds="http://schemas.openxmlformats.org/officeDocument/2006/customXml" ds:itemID="{F82FB1C8-8D5E-41F4-9D1C-7600C375AF2E}">
  <ds:schemaRefs>
    <ds:schemaRef ds:uri="http://schemas.microsoft.com/sharepoint/v3/contenttype/forms"/>
  </ds:schemaRefs>
</ds:datastoreItem>
</file>

<file path=customXml/itemProps3.xml><?xml version="1.0" encoding="utf-8"?>
<ds:datastoreItem xmlns:ds="http://schemas.openxmlformats.org/officeDocument/2006/customXml" ds:itemID="{F33710BD-DDDE-4593-BBB0-056B637C3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ea5d7f-eba5-42cd-aa66-a768968f8689"/>
    <ds:schemaRef ds:uri="bebef3bd-abd2-4438-8cdc-f4ee907b8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2619</Words>
  <Characters>14931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Thorn</dc:creator>
  <cp:keywords/>
  <dc:description/>
  <cp:lastModifiedBy>William Bacon</cp:lastModifiedBy>
  <cp:revision>2</cp:revision>
  <dcterms:created xsi:type="dcterms:W3CDTF">2025-05-28T08:47:00Z</dcterms:created>
  <dcterms:modified xsi:type="dcterms:W3CDTF">2025-05-28T08:47:00Z</dcterms:modified>
</cp:coreProperties>
</file>